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楷体" w:hAnsi="楷体" w:eastAsia="楷体"/>
          <w:color w:val="FF0000"/>
          <w:sz w:val="30"/>
          <w:szCs w:val="30"/>
          <w:u w:val="thick"/>
        </w:rPr>
      </w:pPr>
    </w:p>
    <w:p>
      <w:pPr>
        <w:ind w:firstLine="1070" w:firstLineChars="296"/>
        <w:rPr>
          <w:rFonts w:asciiTheme="minorEastAsia" w:hAnsiTheme="minorEastAsia"/>
          <w:b/>
          <w:sz w:val="36"/>
          <w:szCs w:val="36"/>
        </w:rPr>
      </w:pPr>
      <w:r>
        <w:rPr>
          <w:rFonts w:hint="eastAsia" w:asciiTheme="minorEastAsia" w:hAnsiTheme="minorEastAsia"/>
          <w:b/>
          <w:sz w:val="36"/>
          <w:szCs w:val="36"/>
        </w:rPr>
        <w:t xml:space="preserve">          白河林区基层</w:t>
      </w:r>
      <w:r>
        <w:rPr>
          <w:rFonts w:asciiTheme="minorEastAsia" w:hAnsiTheme="minorEastAsia"/>
          <w:b/>
          <w:sz w:val="36"/>
          <w:szCs w:val="36"/>
        </w:rPr>
        <w:t>法院</w:t>
      </w:r>
    </w:p>
    <w:p>
      <w:pPr>
        <w:ind w:firstLine="1070" w:firstLineChars="296"/>
        <w:rPr>
          <w:rFonts w:asciiTheme="minorEastAsia" w:hAnsiTheme="minorEastAsia"/>
          <w:b/>
          <w:sz w:val="36"/>
          <w:szCs w:val="36"/>
        </w:rPr>
      </w:pPr>
      <w:r>
        <w:rPr>
          <w:rFonts w:hint="eastAsia" w:asciiTheme="minorEastAsia" w:hAnsiTheme="minorEastAsia"/>
          <w:b/>
          <w:sz w:val="36"/>
          <w:szCs w:val="36"/>
        </w:rPr>
        <w:t xml:space="preserve">   </w:t>
      </w:r>
      <w:r>
        <w:rPr>
          <w:rFonts w:asciiTheme="minorEastAsia" w:hAnsiTheme="minorEastAsia"/>
          <w:b/>
          <w:sz w:val="36"/>
          <w:szCs w:val="36"/>
        </w:rPr>
        <w:t>20</w:t>
      </w:r>
      <w:r>
        <w:rPr>
          <w:rFonts w:hint="eastAsia" w:asciiTheme="minorEastAsia" w:hAnsiTheme="minorEastAsia"/>
          <w:b/>
          <w:sz w:val="36"/>
          <w:szCs w:val="36"/>
        </w:rPr>
        <w:t>21</w:t>
      </w:r>
      <w:r>
        <w:rPr>
          <w:rFonts w:asciiTheme="minorEastAsia" w:hAnsiTheme="minorEastAsia"/>
          <w:b/>
          <w:sz w:val="36"/>
          <w:szCs w:val="36"/>
        </w:rPr>
        <w:t>年</w:t>
      </w:r>
      <w:r>
        <w:rPr>
          <w:rFonts w:hint="eastAsia" w:asciiTheme="minorEastAsia" w:hAnsiTheme="minorEastAsia"/>
          <w:b/>
          <w:sz w:val="36"/>
          <w:szCs w:val="36"/>
        </w:rPr>
        <w:t>第三季度审判运行态势分析</w:t>
      </w:r>
    </w:p>
    <w:p>
      <w:pPr>
        <w:rPr>
          <w:rFonts w:asciiTheme="minorEastAsia" w:hAnsiTheme="minorEastAsia"/>
          <w:sz w:val="32"/>
          <w:szCs w:val="32"/>
        </w:rPr>
      </w:pPr>
    </w:p>
    <w:p>
      <w:pPr>
        <w:pStyle w:val="15"/>
        <w:ind w:firstLine="640" w:firstLineChars="200"/>
        <w:rPr>
          <w:rFonts w:ascii="宋体" w:hAnsi="宋体" w:eastAsia="宋体"/>
          <w:sz w:val="32"/>
          <w:szCs w:val="32"/>
        </w:rPr>
      </w:pPr>
      <w:r>
        <w:rPr>
          <w:rFonts w:ascii="宋体" w:hAnsi="宋体" w:eastAsia="宋体"/>
          <w:sz w:val="32"/>
          <w:szCs w:val="32"/>
        </w:rPr>
        <w:t>根据</w:t>
      </w:r>
      <w:r>
        <w:rPr>
          <w:rFonts w:hint="eastAsia" w:ascii="宋体" w:hAnsi="宋体" w:eastAsia="宋体"/>
          <w:sz w:val="32"/>
          <w:szCs w:val="32"/>
        </w:rPr>
        <w:t>我</w:t>
      </w:r>
      <w:r>
        <w:rPr>
          <w:rFonts w:ascii="宋体" w:hAnsi="宋体" w:eastAsia="宋体"/>
          <w:sz w:val="32"/>
          <w:szCs w:val="32"/>
        </w:rPr>
        <w:t>院</w:t>
      </w:r>
      <w:r>
        <w:rPr>
          <w:rFonts w:hint="eastAsia" w:ascii="宋体" w:hAnsi="宋体" w:eastAsia="宋体"/>
          <w:sz w:val="32"/>
          <w:szCs w:val="32"/>
        </w:rPr>
        <w:t>数字业务</w:t>
      </w:r>
      <w:r>
        <w:rPr>
          <w:rFonts w:ascii="宋体" w:hAnsi="宋体" w:eastAsia="宋体"/>
          <w:sz w:val="32"/>
          <w:szCs w:val="32"/>
        </w:rPr>
        <w:t>服务平台提取的办案数据（</w:t>
      </w:r>
      <w:r>
        <w:rPr>
          <w:rFonts w:hint="eastAsia" w:ascii="宋体" w:hAnsi="宋体" w:eastAsia="宋体"/>
          <w:sz w:val="32"/>
          <w:szCs w:val="32"/>
        </w:rPr>
        <w:t>诉讼</w:t>
      </w:r>
      <w:r>
        <w:rPr>
          <w:rFonts w:ascii="宋体" w:hAnsi="宋体" w:eastAsia="宋体"/>
          <w:sz w:val="32"/>
          <w:szCs w:val="32"/>
        </w:rPr>
        <w:t>案件）和</w:t>
      </w:r>
      <w:r>
        <w:rPr>
          <w:rFonts w:hint="eastAsia" w:ascii="宋体" w:hAnsi="宋体" w:eastAsia="宋体"/>
          <w:sz w:val="32"/>
          <w:szCs w:val="32"/>
        </w:rPr>
        <w:t>全国</w:t>
      </w:r>
      <w:r>
        <w:rPr>
          <w:rFonts w:ascii="宋体" w:hAnsi="宋体" w:eastAsia="宋体"/>
          <w:sz w:val="32"/>
          <w:szCs w:val="32"/>
        </w:rPr>
        <w:t>执行指挥平台提取的执行案件数据,我</w:t>
      </w:r>
      <w:r>
        <w:rPr>
          <w:rFonts w:hint="eastAsia" w:ascii="宋体" w:hAnsi="宋体" w:eastAsia="宋体"/>
          <w:sz w:val="32"/>
          <w:szCs w:val="32"/>
        </w:rPr>
        <w:t>院</w:t>
      </w:r>
      <w:r>
        <w:rPr>
          <w:rFonts w:ascii="宋体" w:hAnsi="宋体" w:eastAsia="宋体"/>
          <w:sz w:val="32"/>
          <w:szCs w:val="32"/>
        </w:rPr>
        <w:t xml:space="preserve">对2021年 </w:t>
      </w:r>
      <w:r>
        <w:rPr>
          <w:rFonts w:hint="eastAsia" w:ascii="宋体" w:hAnsi="宋体" w:eastAsia="宋体"/>
          <w:sz w:val="32"/>
          <w:szCs w:val="32"/>
        </w:rPr>
        <w:t>1</w:t>
      </w:r>
      <w:r>
        <w:rPr>
          <w:rFonts w:ascii="宋体" w:hAnsi="宋体" w:eastAsia="宋体"/>
          <w:sz w:val="32"/>
          <w:szCs w:val="32"/>
        </w:rPr>
        <w:t xml:space="preserve"> 月 1 日至 </w:t>
      </w:r>
      <w:r>
        <w:rPr>
          <w:rFonts w:hint="eastAsia" w:ascii="宋体" w:hAnsi="宋体" w:eastAsia="宋体"/>
          <w:sz w:val="32"/>
          <w:szCs w:val="32"/>
        </w:rPr>
        <w:t>9</w:t>
      </w:r>
      <w:r>
        <w:rPr>
          <w:rFonts w:ascii="宋体" w:hAnsi="宋体" w:eastAsia="宋体"/>
          <w:sz w:val="32"/>
          <w:szCs w:val="32"/>
        </w:rPr>
        <w:t xml:space="preserve">月 </w:t>
      </w:r>
      <w:r>
        <w:rPr>
          <w:rFonts w:hint="eastAsia" w:ascii="宋体" w:hAnsi="宋体" w:eastAsia="宋体"/>
          <w:sz w:val="32"/>
          <w:szCs w:val="32"/>
        </w:rPr>
        <w:t>30</w:t>
      </w:r>
      <w:r>
        <w:rPr>
          <w:rFonts w:ascii="宋体" w:hAnsi="宋体" w:eastAsia="宋体"/>
          <w:sz w:val="32"/>
          <w:szCs w:val="32"/>
        </w:rPr>
        <w:t xml:space="preserve"> 日审判执行工作情况进行了汇总分析</w:t>
      </w:r>
      <w:r>
        <w:rPr>
          <w:rFonts w:hint="eastAsia" w:ascii="宋体" w:hAnsi="宋体" w:eastAsia="宋体"/>
          <w:sz w:val="32"/>
          <w:szCs w:val="32"/>
        </w:rPr>
        <w:t>，</w:t>
      </w:r>
      <w:r>
        <w:rPr>
          <w:rFonts w:ascii="宋体" w:hAnsi="宋体" w:eastAsia="宋体"/>
          <w:sz w:val="32"/>
          <w:szCs w:val="32"/>
        </w:rPr>
        <w:t>现通报如下：</w:t>
      </w:r>
    </w:p>
    <w:p>
      <w:pPr>
        <w:pStyle w:val="15"/>
        <w:ind w:firstLine="643" w:firstLineChars="200"/>
        <w:rPr>
          <w:rFonts w:ascii="宋体" w:hAnsi="宋体" w:eastAsia="宋体"/>
          <w:b/>
          <w:sz w:val="32"/>
          <w:szCs w:val="32"/>
        </w:rPr>
      </w:pPr>
      <w:r>
        <w:rPr>
          <w:rFonts w:ascii="宋体" w:hAnsi="宋体" w:eastAsia="宋体"/>
          <w:b/>
          <w:sz w:val="32"/>
          <w:szCs w:val="32"/>
        </w:rPr>
        <w:t>一、审判工作总体情况</w:t>
      </w:r>
    </w:p>
    <w:p>
      <w:pPr>
        <w:pStyle w:val="15"/>
        <w:ind w:firstLine="643" w:firstLineChars="200"/>
        <w:rPr>
          <w:rFonts w:ascii="宋体" w:hAnsi="宋体" w:eastAsia="宋体"/>
          <w:b/>
          <w:sz w:val="32"/>
          <w:szCs w:val="32"/>
        </w:rPr>
      </w:pPr>
    </w:p>
    <w:p>
      <w:pPr>
        <w:pStyle w:val="15"/>
        <w:ind w:firstLine="640" w:firstLineChars="200"/>
        <w:rPr>
          <w:rFonts w:ascii="宋体" w:hAnsi="宋体" w:eastAsia="宋体"/>
          <w:sz w:val="32"/>
          <w:szCs w:val="32"/>
        </w:rPr>
      </w:pPr>
      <w:r>
        <w:rPr>
          <w:rFonts w:ascii="宋体" w:hAnsi="宋体" w:eastAsia="宋体"/>
          <w:sz w:val="32"/>
          <w:szCs w:val="32"/>
        </w:rPr>
        <w:t>2021年三季度，</w:t>
      </w:r>
      <w:r>
        <w:rPr>
          <w:rFonts w:hint="eastAsia" w:ascii="宋体" w:hAnsi="宋体" w:eastAsia="宋体"/>
          <w:sz w:val="32"/>
          <w:szCs w:val="32"/>
        </w:rPr>
        <w:t>我院</w:t>
      </w:r>
      <w:r>
        <w:rPr>
          <w:rFonts w:ascii="宋体" w:hAnsi="宋体" w:eastAsia="宋体"/>
          <w:sz w:val="32"/>
          <w:szCs w:val="32"/>
        </w:rPr>
        <w:t>旧存各类案件</w:t>
      </w:r>
      <w:r>
        <w:rPr>
          <w:rFonts w:hint="eastAsia" w:ascii="宋体" w:hAnsi="宋体" w:eastAsia="宋体"/>
          <w:sz w:val="32"/>
          <w:szCs w:val="32"/>
        </w:rPr>
        <w:t>6</w:t>
      </w:r>
      <w:r>
        <w:rPr>
          <w:rFonts w:ascii="宋体" w:hAnsi="宋体" w:eastAsia="宋体"/>
          <w:sz w:val="32"/>
          <w:szCs w:val="32"/>
        </w:rPr>
        <w:t>件，新收</w:t>
      </w:r>
      <w:r>
        <w:rPr>
          <w:rFonts w:hint="eastAsia" w:ascii="宋体" w:hAnsi="宋体" w:eastAsia="宋体"/>
          <w:sz w:val="32"/>
          <w:szCs w:val="32"/>
        </w:rPr>
        <w:t>799</w:t>
      </w:r>
      <w:r>
        <w:rPr>
          <w:rFonts w:ascii="宋体" w:hAnsi="宋体" w:eastAsia="宋体"/>
          <w:sz w:val="32"/>
          <w:szCs w:val="32"/>
        </w:rPr>
        <w:t>件，旧存加新收合计</w:t>
      </w:r>
      <w:r>
        <w:rPr>
          <w:rFonts w:hint="eastAsia" w:ascii="宋体" w:hAnsi="宋体" w:eastAsia="宋体"/>
          <w:sz w:val="32"/>
          <w:szCs w:val="32"/>
        </w:rPr>
        <w:t>805</w:t>
      </w:r>
      <w:r>
        <w:rPr>
          <w:rFonts w:ascii="宋体" w:hAnsi="宋体" w:eastAsia="宋体"/>
          <w:sz w:val="32"/>
          <w:szCs w:val="32"/>
        </w:rPr>
        <w:t>件，结案</w:t>
      </w:r>
      <w:r>
        <w:rPr>
          <w:rFonts w:hint="eastAsia" w:ascii="宋体" w:hAnsi="宋体" w:eastAsia="宋体"/>
          <w:sz w:val="32"/>
          <w:szCs w:val="32"/>
        </w:rPr>
        <w:t>793</w:t>
      </w:r>
      <w:r>
        <w:rPr>
          <w:rFonts w:ascii="宋体" w:hAnsi="宋体" w:eastAsia="宋体"/>
          <w:sz w:val="32"/>
          <w:szCs w:val="32"/>
        </w:rPr>
        <w:t>件，结案率</w:t>
      </w:r>
      <w:r>
        <w:rPr>
          <w:rFonts w:hint="eastAsia" w:ascii="宋体" w:hAnsi="宋体" w:eastAsia="宋体"/>
          <w:sz w:val="32"/>
          <w:szCs w:val="32"/>
        </w:rPr>
        <w:t>98.51</w:t>
      </w:r>
      <w:r>
        <w:rPr>
          <w:rFonts w:ascii="宋体" w:hAnsi="宋体" w:eastAsia="宋体"/>
          <w:sz w:val="32"/>
          <w:szCs w:val="32"/>
        </w:rPr>
        <w:t>%；截至</w:t>
      </w:r>
      <w:r>
        <w:rPr>
          <w:rFonts w:hint="eastAsia" w:ascii="宋体" w:hAnsi="宋体" w:eastAsia="宋体"/>
          <w:sz w:val="32"/>
          <w:szCs w:val="32"/>
        </w:rPr>
        <w:t>9</w:t>
      </w:r>
      <w:r>
        <w:rPr>
          <w:rFonts w:ascii="宋体" w:hAnsi="宋体" w:eastAsia="宋体"/>
          <w:sz w:val="32"/>
          <w:szCs w:val="32"/>
        </w:rPr>
        <w:t xml:space="preserve">月 </w:t>
      </w:r>
      <w:r>
        <w:rPr>
          <w:rFonts w:hint="eastAsia" w:ascii="宋体" w:hAnsi="宋体" w:eastAsia="宋体"/>
          <w:sz w:val="32"/>
          <w:szCs w:val="32"/>
        </w:rPr>
        <w:t>30</w:t>
      </w:r>
      <w:r>
        <w:rPr>
          <w:rFonts w:ascii="宋体" w:hAnsi="宋体" w:eastAsia="宋体"/>
          <w:sz w:val="32"/>
          <w:szCs w:val="32"/>
        </w:rPr>
        <w:t xml:space="preserve"> 日，未结案件</w:t>
      </w:r>
      <w:r>
        <w:rPr>
          <w:rFonts w:hint="eastAsia" w:ascii="宋体" w:hAnsi="宋体" w:eastAsia="宋体"/>
          <w:sz w:val="32"/>
          <w:szCs w:val="32"/>
        </w:rPr>
        <w:t>12</w:t>
      </w:r>
      <w:r>
        <w:rPr>
          <w:rFonts w:ascii="宋体" w:hAnsi="宋体" w:eastAsia="宋体"/>
          <w:sz w:val="32"/>
          <w:szCs w:val="32"/>
        </w:rPr>
        <w:t>件。与 2020 年</w:t>
      </w:r>
      <w:r>
        <w:rPr>
          <w:rFonts w:hint="eastAsia" w:ascii="宋体" w:hAnsi="宋体" w:eastAsia="宋体"/>
          <w:sz w:val="32"/>
          <w:szCs w:val="32"/>
        </w:rPr>
        <w:t>三季度</w:t>
      </w:r>
      <w:r>
        <w:rPr>
          <w:rFonts w:ascii="宋体" w:hAnsi="宋体" w:eastAsia="宋体"/>
          <w:sz w:val="32"/>
          <w:szCs w:val="32"/>
        </w:rPr>
        <w:t>相比，旧</w:t>
      </w:r>
      <w:r>
        <w:rPr>
          <w:rFonts w:hint="eastAsia" w:ascii="宋体" w:hAnsi="宋体" w:eastAsia="宋体"/>
          <w:sz w:val="32"/>
          <w:szCs w:val="32"/>
        </w:rPr>
        <w:t>存减少47件</w:t>
      </w:r>
      <w:r>
        <w:rPr>
          <w:rFonts w:ascii="宋体" w:hAnsi="宋体" w:eastAsia="宋体"/>
          <w:sz w:val="32"/>
          <w:szCs w:val="32"/>
        </w:rPr>
        <w:t>；新收</w:t>
      </w:r>
      <w:r>
        <w:rPr>
          <w:rFonts w:hint="eastAsia" w:ascii="宋体" w:hAnsi="宋体" w:eastAsia="宋体"/>
          <w:sz w:val="32"/>
          <w:szCs w:val="32"/>
        </w:rPr>
        <w:t>增加41</w:t>
      </w:r>
      <w:r>
        <w:rPr>
          <w:rFonts w:ascii="宋体" w:hAnsi="宋体" w:eastAsia="宋体"/>
          <w:sz w:val="32"/>
          <w:szCs w:val="32"/>
        </w:rPr>
        <w:t>件，</w:t>
      </w:r>
      <w:r>
        <w:rPr>
          <w:rFonts w:hint="eastAsia" w:ascii="宋体" w:hAnsi="宋体" w:eastAsia="宋体"/>
          <w:sz w:val="32"/>
          <w:szCs w:val="32"/>
        </w:rPr>
        <w:t>上升4.31</w:t>
      </w:r>
      <w:r>
        <w:rPr>
          <w:rFonts w:ascii="宋体" w:hAnsi="宋体" w:eastAsia="宋体"/>
          <w:sz w:val="32"/>
          <w:szCs w:val="32"/>
        </w:rPr>
        <w:t xml:space="preserve"> %；结案</w:t>
      </w:r>
      <w:r>
        <w:rPr>
          <w:rFonts w:hint="eastAsia" w:ascii="宋体" w:hAnsi="宋体" w:eastAsia="宋体"/>
          <w:sz w:val="32"/>
          <w:szCs w:val="32"/>
        </w:rPr>
        <w:t>增加10</w:t>
      </w:r>
      <w:r>
        <w:rPr>
          <w:rFonts w:ascii="宋体" w:hAnsi="宋体" w:eastAsia="宋体"/>
          <w:sz w:val="32"/>
          <w:szCs w:val="32"/>
        </w:rPr>
        <w:t>件，</w:t>
      </w:r>
      <w:r>
        <w:rPr>
          <w:rFonts w:hint="eastAsia" w:ascii="宋体" w:hAnsi="宋体" w:eastAsia="宋体"/>
          <w:sz w:val="32"/>
          <w:szCs w:val="32"/>
        </w:rPr>
        <w:t>上升1.28</w:t>
      </w:r>
      <w:r>
        <w:rPr>
          <w:rFonts w:ascii="宋体" w:hAnsi="宋体" w:eastAsia="宋体"/>
          <w:sz w:val="32"/>
          <w:szCs w:val="32"/>
        </w:rPr>
        <w:t>%；结案率</w:t>
      </w:r>
      <w:r>
        <w:rPr>
          <w:rFonts w:hint="eastAsia" w:ascii="宋体" w:hAnsi="宋体" w:eastAsia="宋体"/>
          <w:sz w:val="32"/>
          <w:szCs w:val="32"/>
        </w:rPr>
        <w:t>同比上升2.90%</w:t>
      </w:r>
      <w:r>
        <w:rPr>
          <w:rFonts w:ascii="宋体" w:hAnsi="宋体" w:eastAsia="宋体"/>
          <w:sz w:val="32"/>
          <w:szCs w:val="32"/>
        </w:rPr>
        <w:t>；未结案</w:t>
      </w:r>
      <w:r>
        <w:rPr>
          <w:rFonts w:hint="eastAsia" w:ascii="宋体" w:hAnsi="宋体" w:eastAsia="宋体"/>
          <w:sz w:val="32"/>
          <w:szCs w:val="32"/>
        </w:rPr>
        <w:t>件减少24</w:t>
      </w:r>
      <w:r>
        <w:rPr>
          <w:rFonts w:ascii="宋体" w:hAnsi="宋体" w:eastAsia="宋体"/>
          <w:sz w:val="32"/>
          <w:szCs w:val="32"/>
        </w:rPr>
        <w:t>件，</w:t>
      </w:r>
      <w:r>
        <w:rPr>
          <w:rFonts w:hint="eastAsia" w:ascii="宋体" w:hAnsi="宋体" w:eastAsia="宋体"/>
          <w:sz w:val="32"/>
          <w:szCs w:val="32"/>
        </w:rPr>
        <w:t>下降66.67</w:t>
      </w:r>
      <w:r>
        <w:rPr>
          <w:rFonts w:ascii="宋体" w:hAnsi="宋体" w:eastAsia="宋体"/>
          <w:sz w:val="32"/>
          <w:szCs w:val="32"/>
        </w:rPr>
        <w:t>%</w:t>
      </w:r>
      <w:r>
        <w:rPr>
          <w:rFonts w:hint="eastAsia" w:ascii="宋体" w:hAnsi="宋体" w:eastAsia="宋体"/>
          <w:sz w:val="32"/>
          <w:szCs w:val="32"/>
        </w:rPr>
        <w:t>。</w:t>
      </w:r>
    </w:p>
    <w:p/>
    <w:p>
      <w:r>
        <w:drawing>
          <wp:inline distT="0" distB="0" distL="0" distR="0">
            <wp:extent cx="4886325" cy="2466975"/>
            <wp:effectExtent l="0" t="0" r="0" b="0"/>
            <wp:docPr id="6"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p/>
    <w:p/>
    <w:p>
      <w:pPr>
        <w:ind w:firstLine="480" w:firstLineChars="150"/>
        <w:rPr>
          <w:rFonts w:asciiTheme="minorEastAsia" w:hAnsiTheme="minorEastAsia"/>
          <w:sz w:val="32"/>
          <w:szCs w:val="32"/>
        </w:rPr>
      </w:pPr>
      <w:r>
        <w:rPr>
          <w:rFonts w:asciiTheme="minorEastAsia" w:hAnsiTheme="minorEastAsia"/>
          <w:sz w:val="32"/>
          <w:szCs w:val="32"/>
        </w:rPr>
        <w:t>2021年三季度案件结收比（已结案件数/新收案件数）</w:t>
      </w:r>
      <w:r>
        <w:rPr>
          <w:rFonts w:hint="eastAsia" w:asciiTheme="minorEastAsia" w:hAnsiTheme="minorEastAsia"/>
          <w:sz w:val="32"/>
          <w:szCs w:val="32"/>
        </w:rPr>
        <w:t>，99.25</w:t>
      </w:r>
      <w:r>
        <w:rPr>
          <w:rFonts w:asciiTheme="minorEastAsia" w:hAnsiTheme="minorEastAsia"/>
          <w:sz w:val="32"/>
          <w:szCs w:val="32"/>
        </w:rPr>
        <w:t>%，相比 2020年三季度的</w:t>
      </w:r>
      <w:r>
        <w:rPr>
          <w:rFonts w:hint="eastAsia" w:asciiTheme="minorEastAsia" w:hAnsiTheme="minorEastAsia"/>
          <w:sz w:val="32"/>
          <w:szCs w:val="32"/>
        </w:rPr>
        <w:t>102.22</w:t>
      </w:r>
      <w:r>
        <w:rPr>
          <w:rFonts w:asciiTheme="minorEastAsia" w:hAnsiTheme="minorEastAsia"/>
          <w:sz w:val="32"/>
          <w:szCs w:val="32"/>
        </w:rPr>
        <w:t>%，</w:t>
      </w:r>
      <w:r>
        <w:rPr>
          <w:rFonts w:hint="eastAsia" w:asciiTheme="minorEastAsia" w:hAnsiTheme="minorEastAsia"/>
          <w:sz w:val="32"/>
          <w:szCs w:val="32"/>
        </w:rPr>
        <w:t>同比下降1.97%</w:t>
      </w:r>
      <w:r>
        <w:rPr>
          <w:rFonts w:asciiTheme="minorEastAsia" w:hAnsiTheme="minorEastAsia"/>
          <w:sz w:val="32"/>
          <w:szCs w:val="32"/>
        </w:rPr>
        <w:t>。</w:t>
      </w:r>
    </w:p>
    <w:p>
      <w:pPr>
        <w:rPr>
          <w:rFonts w:asciiTheme="minorEastAsia" w:hAnsiTheme="minorEastAsia"/>
          <w:sz w:val="32"/>
          <w:szCs w:val="32"/>
        </w:rPr>
      </w:pPr>
    </w:p>
    <w:p>
      <w:pPr>
        <w:ind w:firstLine="640" w:firstLineChars="200"/>
        <w:rPr>
          <w:rFonts w:asciiTheme="minorEastAsia" w:hAnsiTheme="minorEastAsia"/>
          <w:sz w:val="32"/>
          <w:szCs w:val="32"/>
        </w:rPr>
      </w:pPr>
      <w:r>
        <w:rPr>
          <w:rFonts w:asciiTheme="minorEastAsia" w:hAnsiTheme="minorEastAsia"/>
          <w:sz w:val="32"/>
          <w:szCs w:val="32"/>
        </w:rPr>
        <w:t>2021年</w:t>
      </w:r>
      <w:r>
        <w:rPr>
          <w:rFonts w:hint="eastAsia" w:asciiTheme="minorEastAsia" w:hAnsiTheme="minorEastAsia"/>
          <w:sz w:val="32"/>
          <w:szCs w:val="32"/>
        </w:rPr>
        <w:t>1-9月，我</w:t>
      </w:r>
      <w:r>
        <w:rPr>
          <w:rFonts w:asciiTheme="minorEastAsia" w:hAnsiTheme="minorEastAsia"/>
          <w:sz w:val="32"/>
          <w:szCs w:val="32"/>
        </w:rPr>
        <w:t>院各主要类型案件平均审理时长为：民事案件</w:t>
      </w:r>
      <w:r>
        <w:rPr>
          <w:rFonts w:hint="eastAsia" w:asciiTheme="minorEastAsia" w:hAnsiTheme="minorEastAsia"/>
          <w:sz w:val="32"/>
          <w:szCs w:val="32"/>
        </w:rPr>
        <w:t>25</w:t>
      </w:r>
      <w:r>
        <w:rPr>
          <w:rFonts w:asciiTheme="minorEastAsia" w:hAnsiTheme="minorEastAsia"/>
          <w:sz w:val="32"/>
          <w:szCs w:val="32"/>
        </w:rPr>
        <w:t>天，刑事案件</w:t>
      </w:r>
      <w:r>
        <w:rPr>
          <w:rFonts w:hint="eastAsia" w:asciiTheme="minorEastAsia" w:hAnsiTheme="minorEastAsia"/>
          <w:sz w:val="32"/>
          <w:szCs w:val="32"/>
        </w:rPr>
        <w:t>18</w:t>
      </w:r>
      <w:r>
        <w:rPr>
          <w:rFonts w:asciiTheme="minorEastAsia" w:hAnsiTheme="minorEastAsia"/>
          <w:sz w:val="32"/>
          <w:szCs w:val="32"/>
        </w:rPr>
        <w:t>天</w:t>
      </w:r>
      <w:r>
        <w:rPr>
          <w:rFonts w:hint="eastAsia" w:asciiTheme="minorEastAsia" w:hAnsiTheme="minorEastAsia"/>
          <w:sz w:val="32"/>
          <w:szCs w:val="32"/>
        </w:rPr>
        <w:t>。</w:t>
      </w:r>
      <w:r>
        <w:rPr>
          <w:rFonts w:asciiTheme="minorEastAsia" w:hAnsiTheme="minorEastAsia"/>
          <w:sz w:val="32"/>
          <w:szCs w:val="32"/>
        </w:rPr>
        <w:t xml:space="preserve"> </w:t>
      </w:r>
    </w:p>
    <w:p/>
    <w:p>
      <w:r>
        <w:drawing>
          <wp:inline distT="0" distB="0" distL="0" distR="0">
            <wp:extent cx="5400675" cy="2524125"/>
            <wp:effectExtent l="0" t="0" r="0" b="0"/>
            <wp:docPr id="26"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
      <w:pPr>
        <w:ind w:firstLine="630" w:firstLineChars="196"/>
        <w:rPr>
          <w:rFonts w:hint="eastAsia" w:asciiTheme="minorEastAsia" w:hAnsiTheme="minorEastAsia"/>
          <w:b/>
          <w:sz w:val="32"/>
          <w:szCs w:val="32"/>
        </w:rPr>
      </w:pPr>
    </w:p>
    <w:p>
      <w:pPr>
        <w:ind w:firstLine="630" w:firstLineChars="196"/>
        <w:rPr>
          <w:rFonts w:hint="eastAsia" w:asciiTheme="minorEastAsia" w:hAnsiTheme="minorEastAsia"/>
          <w:b/>
          <w:sz w:val="32"/>
          <w:szCs w:val="32"/>
        </w:rPr>
      </w:pPr>
    </w:p>
    <w:p>
      <w:pPr>
        <w:ind w:firstLine="630" w:firstLineChars="196"/>
        <w:rPr>
          <w:rFonts w:asciiTheme="minorEastAsia" w:hAnsiTheme="minorEastAsia"/>
          <w:b/>
          <w:sz w:val="32"/>
          <w:szCs w:val="32"/>
        </w:rPr>
      </w:pPr>
      <w:r>
        <w:rPr>
          <w:rFonts w:hint="eastAsia" w:asciiTheme="minorEastAsia" w:hAnsiTheme="minorEastAsia"/>
          <w:b/>
          <w:sz w:val="32"/>
          <w:szCs w:val="32"/>
        </w:rPr>
        <w:t>二</w:t>
      </w:r>
      <w:r>
        <w:rPr>
          <w:rFonts w:asciiTheme="minorEastAsia" w:hAnsiTheme="minorEastAsia"/>
          <w:b/>
          <w:sz w:val="32"/>
          <w:szCs w:val="32"/>
        </w:rPr>
        <w:t>、新收</w:t>
      </w:r>
      <w:r>
        <w:rPr>
          <w:rFonts w:hint="eastAsia" w:asciiTheme="minorEastAsia" w:hAnsiTheme="minorEastAsia"/>
          <w:b/>
          <w:sz w:val="32"/>
          <w:szCs w:val="32"/>
        </w:rPr>
        <w:t>各</w:t>
      </w:r>
      <w:r>
        <w:rPr>
          <w:rFonts w:asciiTheme="minorEastAsia" w:hAnsiTheme="minorEastAsia"/>
          <w:b/>
          <w:sz w:val="32"/>
          <w:szCs w:val="32"/>
        </w:rPr>
        <w:t>类案件情况</w:t>
      </w:r>
    </w:p>
    <w:p>
      <w:pPr>
        <w:ind w:firstLine="630" w:firstLineChars="196"/>
        <w:rPr>
          <w:rFonts w:asciiTheme="minorEastAsia" w:hAnsiTheme="minorEastAsia"/>
          <w:b/>
          <w:sz w:val="32"/>
          <w:szCs w:val="32"/>
        </w:rPr>
      </w:pPr>
    </w:p>
    <w:p>
      <w:pPr>
        <w:snapToGrid w:val="0"/>
        <w:ind w:firstLine="640" w:firstLineChars="200"/>
        <w:rPr>
          <w:rFonts w:asciiTheme="minorEastAsia" w:hAnsiTheme="minorEastAsia"/>
          <w:sz w:val="32"/>
          <w:szCs w:val="32"/>
        </w:rPr>
      </w:pPr>
      <w:r>
        <w:rPr>
          <w:rFonts w:hint="eastAsia" w:asciiTheme="minorEastAsia" w:hAnsiTheme="minorEastAsia"/>
          <w:sz w:val="32"/>
          <w:szCs w:val="32"/>
        </w:rPr>
        <w:t>2021年三季度，全院共新收诉讼案件514件，新收下降10件（2020年同期新收524件）。</w:t>
      </w:r>
    </w:p>
    <w:p>
      <w:pPr>
        <w:snapToGrid w:val="0"/>
        <w:ind w:firstLine="640" w:firstLineChars="200"/>
        <w:rPr>
          <w:rFonts w:asciiTheme="minorEastAsia" w:hAnsiTheme="minorEastAsia"/>
          <w:sz w:val="32"/>
          <w:szCs w:val="32"/>
        </w:rPr>
      </w:pPr>
      <w:r>
        <w:rPr>
          <w:rFonts w:hint="eastAsia" w:asciiTheme="minorEastAsia" w:hAnsiTheme="minorEastAsia"/>
          <w:sz w:val="32"/>
          <w:szCs w:val="32"/>
        </w:rPr>
        <w:t>刑事案件新收43件（2020年同期新收58件）；</w:t>
      </w:r>
    </w:p>
    <w:p>
      <w:pPr>
        <w:snapToGrid w:val="0"/>
        <w:ind w:firstLine="640" w:firstLineChars="200"/>
        <w:rPr>
          <w:rFonts w:asciiTheme="minorEastAsia" w:hAnsiTheme="minorEastAsia"/>
          <w:sz w:val="32"/>
          <w:szCs w:val="32"/>
        </w:rPr>
      </w:pPr>
      <w:r>
        <w:rPr>
          <w:rFonts w:hint="eastAsia" w:asciiTheme="minorEastAsia" w:hAnsiTheme="minorEastAsia"/>
          <w:sz w:val="32"/>
          <w:szCs w:val="32"/>
        </w:rPr>
        <w:t>民事案件新收438件（2020年同期新收436件）；</w:t>
      </w:r>
    </w:p>
    <w:p>
      <w:pPr>
        <w:snapToGrid w:val="0"/>
        <w:ind w:firstLine="640" w:firstLineChars="200"/>
        <w:rPr>
          <w:rFonts w:asciiTheme="minorEastAsia" w:hAnsiTheme="minorEastAsia"/>
          <w:sz w:val="32"/>
          <w:szCs w:val="32"/>
        </w:rPr>
      </w:pPr>
      <w:r>
        <w:rPr>
          <w:rFonts w:hint="eastAsia" w:asciiTheme="minorEastAsia" w:hAnsiTheme="minorEastAsia"/>
          <w:sz w:val="32"/>
          <w:szCs w:val="32"/>
        </w:rPr>
        <w:t>行政案件一审程序新收0件（2020年同期新收2件）；</w:t>
      </w:r>
    </w:p>
    <w:p>
      <w:pPr>
        <w:snapToGrid w:val="0"/>
        <w:ind w:firstLine="640" w:firstLineChars="200"/>
        <w:rPr>
          <w:rFonts w:asciiTheme="minorEastAsia" w:hAnsiTheme="minorEastAsia"/>
          <w:sz w:val="32"/>
          <w:szCs w:val="32"/>
        </w:rPr>
      </w:pPr>
      <w:r>
        <w:rPr>
          <w:rFonts w:hint="eastAsia" w:asciiTheme="minorEastAsia" w:hAnsiTheme="minorEastAsia"/>
          <w:sz w:val="32"/>
          <w:szCs w:val="32"/>
        </w:rPr>
        <w:t>非诉保全新收33件（2020年同期新收28件）；</w:t>
      </w:r>
    </w:p>
    <w:p>
      <w:pPr>
        <w:snapToGrid w:val="0"/>
        <w:ind w:firstLine="640" w:firstLineChars="200"/>
        <w:rPr>
          <w:rFonts w:asciiTheme="minorEastAsia" w:hAnsiTheme="minorEastAsia"/>
          <w:color w:val="000000" w:themeColor="text1"/>
          <w:sz w:val="32"/>
          <w:szCs w:val="32"/>
        </w:rPr>
      </w:pPr>
      <w:r>
        <w:rPr>
          <w:rFonts w:hint="eastAsia" w:asciiTheme="minorEastAsia" w:hAnsiTheme="minorEastAsia"/>
          <w:color w:val="000000" w:themeColor="text1"/>
          <w:sz w:val="32"/>
          <w:szCs w:val="32"/>
        </w:rPr>
        <w:t>执行案件新收284件（2020年同期新收242件）。</w:t>
      </w:r>
    </w:p>
    <w:p>
      <w:pPr>
        <w:snapToGrid w:val="0"/>
        <w:ind w:firstLine="640" w:firstLineChars="200"/>
        <w:rPr>
          <w:rFonts w:asciiTheme="minorEastAsia" w:hAnsiTheme="minorEastAsia"/>
          <w:color w:val="000000" w:themeColor="text1"/>
          <w:sz w:val="32"/>
          <w:szCs w:val="32"/>
        </w:rPr>
      </w:pPr>
    </w:p>
    <w:p>
      <w:pPr>
        <w:ind w:firstLine="643" w:firstLineChars="200"/>
        <w:rPr>
          <w:rFonts w:asciiTheme="minorEastAsia" w:hAnsiTheme="minorEastAsia"/>
          <w:b/>
          <w:color w:val="000000" w:themeColor="text1"/>
          <w:sz w:val="32"/>
          <w:szCs w:val="32"/>
        </w:rPr>
      </w:pPr>
      <w:r>
        <w:rPr>
          <w:rFonts w:hint="eastAsia" w:asciiTheme="minorEastAsia" w:hAnsiTheme="minorEastAsia"/>
          <w:b/>
          <w:color w:val="000000" w:themeColor="text1"/>
          <w:sz w:val="32"/>
          <w:szCs w:val="32"/>
        </w:rPr>
        <w:t>三</w:t>
      </w:r>
      <w:r>
        <w:rPr>
          <w:rFonts w:asciiTheme="minorEastAsia" w:hAnsiTheme="minorEastAsia"/>
          <w:b/>
          <w:color w:val="000000" w:themeColor="text1"/>
          <w:sz w:val="32"/>
          <w:szCs w:val="32"/>
        </w:rPr>
        <w:t>、审结</w:t>
      </w:r>
      <w:r>
        <w:rPr>
          <w:rFonts w:hint="eastAsia" w:asciiTheme="minorEastAsia" w:hAnsiTheme="minorEastAsia"/>
          <w:b/>
          <w:color w:val="000000" w:themeColor="text1"/>
          <w:sz w:val="32"/>
          <w:szCs w:val="32"/>
        </w:rPr>
        <w:t>各</w:t>
      </w:r>
      <w:r>
        <w:rPr>
          <w:rFonts w:asciiTheme="minorEastAsia" w:hAnsiTheme="minorEastAsia"/>
          <w:b/>
          <w:color w:val="000000" w:themeColor="text1"/>
          <w:sz w:val="32"/>
          <w:szCs w:val="32"/>
        </w:rPr>
        <w:t>类案件情况</w:t>
      </w:r>
    </w:p>
    <w:p>
      <w:pPr>
        <w:snapToGrid w:val="0"/>
        <w:ind w:firstLine="640" w:firstLineChars="200"/>
        <w:rPr>
          <w:rFonts w:asciiTheme="minorEastAsia" w:hAnsiTheme="minorEastAsia"/>
          <w:sz w:val="32"/>
          <w:szCs w:val="32"/>
        </w:rPr>
      </w:pPr>
    </w:p>
    <w:p>
      <w:pPr>
        <w:snapToGrid w:val="0"/>
        <w:ind w:firstLine="640" w:firstLineChars="200"/>
        <w:rPr>
          <w:rFonts w:asciiTheme="minorEastAsia" w:hAnsiTheme="minorEastAsia"/>
          <w:sz w:val="32"/>
          <w:szCs w:val="32"/>
        </w:rPr>
      </w:pPr>
      <w:r>
        <w:rPr>
          <w:rFonts w:hint="eastAsia" w:asciiTheme="minorEastAsia" w:hAnsiTheme="minorEastAsia"/>
          <w:sz w:val="32"/>
          <w:szCs w:val="32"/>
        </w:rPr>
        <w:t>1-9月，全院共审结793件（2020年同期783件），同比上升285件。</w:t>
      </w:r>
    </w:p>
    <w:p>
      <w:pPr>
        <w:snapToGrid w:val="0"/>
        <w:ind w:firstLine="640" w:firstLineChars="200"/>
        <w:rPr>
          <w:rFonts w:asciiTheme="minorEastAsia" w:hAnsiTheme="minorEastAsia"/>
          <w:color w:val="000000" w:themeColor="text1"/>
          <w:sz w:val="32"/>
          <w:szCs w:val="32"/>
        </w:rPr>
      </w:pPr>
      <w:r>
        <w:rPr>
          <w:rFonts w:hint="eastAsia" w:asciiTheme="minorEastAsia" w:hAnsiTheme="minorEastAsia"/>
          <w:color w:val="000000" w:themeColor="text1"/>
          <w:sz w:val="32"/>
          <w:szCs w:val="32"/>
        </w:rPr>
        <w:t>刑事案件结案41件；结案率为95.38%（2020年同期58件，100%），同比下降4.62%。</w:t>
      </w:r>
    </w:p>
    <w:p>
      <w:pPr>
        <w:snapToGrid w:val="0"/>
        <w:ind w:firstLine="800" w:firstLineChars="250"/>
        <w:rPr>
          <w:rFonts w:asciiTheme="minorEastAsia" w:hAnsiTheme="minorEastAsia"/>
          <w:sz w:val="32"/>
          <w:szCs w:val="32"/>
        </w:rPr>
      </w:pPr>
      <w:r>
        <w:rPr>
          <w:rFonts w:hint="eastAsia" w:asciiTheme="minorEastAsia" w:hAnsiTheme="minorEastAsia"/>
          <w:sz w:val="32"/>
          <w:szCs w:val="32"/>
        </w:rPr>
        <w:t>民事案件结案436件（2020年同期446件）；结案率为98.20%（2020年同期93.50%），同比上升5.03%。</w:t>
      </w:r>
    </w:p>
    <w:p>
      <w:pPr>
        <w:snapToGrid w:val="0"/>
        <w:ind w:left="105" w:leftChars="50" w:firstLine="640" w:firstLineChars="200"/>
        <w:rPr>
          <w:rFonts w:asciiTheme="minorEastAsia" w:hAnsiTheme="minorEastAsia"/>
          <w:sz w:val="32"/>
          <w:szCs w:val="32"/>
        </w:rPr>
      </w:pPr>
      <w:r>
        <w:rPr>
          <w:rFonts w:hint="eastAsia" w:asciiTheme="minorEastAsia" w:hAnsiTheme="minorEastAsia"/>
          <w:sz w:val="32"/>
          <w:szCs w:val="32"/>
        </w:rPr>
        <w:t>行政案件中，一审程序结案0件（2020年同期1件）；结案率0%（2020年同期33.33%）；</w:t>
      </w:r>
    </w:p>
    <w:p>
      <w:pPr>
        <w:snapToGrid w:val="0"/>
        <w:ind w:left="105" w:leftChars="50" w:firstLine="640" w:firstLineChars="200"/>
        <w:rPr>
          <w:rFonts w:asciiTheme="minorEastAsia" w:hAnsiTheme="minorEastAsia"/>
          <w:sz w:val="32"/>
          <w:szCs w:val="32"/>
        </w:rPr>
      </w:pPr>
      <w:r>
        <w:rPr>
          <w:rFonts w:hint="eastAsia" w:asciiTheme="minorEastAsia" w:hAnsiTheme="minorEastAsia"/>
          <w:sz w:val="32"/>
          <w:szCs w:val="32"/>
        </w:rPr>
        <w:t>非诉保全案件结案33件（2020年同期28件），结案率100%（2020年同期100%），同比持平。</w:t>
      </w:r>
    </w:p>
    <w:p>
      <w:pPr>
        <w:snapToGrid w:val="0"/>
        <w:ind w:firstLine="800" w:firstLineChars="250"/>
        <w:rPr>
          <w:rFonts w:asciiTheme="minorEastAsia" w:hAnsiTheme="minorEastAsia"/>
          <w:color w:val="000000" w:themeColor="text1"/>
          <w:sz w:val="32"/>
          <w:szCs w:val="32"/>
        </w:rPr>
      </w:pPr>
      <w:r>
        <w:rPr>
          <w:rFonts w:hint="eastAsia" w:asciiTheme="minorEastAsia" w:hAnsiTheme="minorEastAsia"/>
          <w:color w:val="000000" w:themeColor="text1"/>
          <w:sz w:val="32"/>
          <w:szCs w:val="32"/>
        </w:rPr>
        <w:t>执行案件结案282件（2020年同期250件），结案率为99.30%（2020年同期98.81%），同比上升0.50%。</w:t>
      </w:r>
    </w:p>
    <w:p>
      <w:pPr>
        <w:snapToGrid w:val="0"/>
        <w:ind w:firstLine="800" w:firstLineChars="250"/>
        <w:rPr>
          <w:rFonts w:asciiTheme="minorEastAsia" w:hAnsiTheme="minorEastAsia"/>
          <w:color w:val="000000" w:themeColor="text1"/>
          <w:sz w:val="32"/>
          <w:szCs w:val="32"/>
        </w:rPr>
      </w:pPr>
    </w:p>
    <w:p>
      <w:pPr>
        <w:ind w:firstLine="643" w:firstLineChars="200"/>
        <w:rPr>
          <w:rFonts w:hint="eastAsia" w:asciiTheme="minorEastAsia" w:hAnsiTheme="minorEastAsia"/>
          <w:b/>
          <w:sz w:val="32"/>
          <w:szCs w:val="32"/>
        </w:rPr>
      </w:pPr>
      <w:r>
        <w:rPr>
          <w:rFonts w:hint="eastAsia" w:asciiTheme="minorEastAsia" w:hAnsiTheme="minorEastAsia"/>
          <w:b/>
          <w:sz w:val="32"/>
          <w:szCs w:val="32"/>
        </w:rPr>
        <w:t>四、案件审结</w:t>
      </w:r>
      <w:r>
        <w:rPr>
          <w:rFonts w:asciiTheme="minorEastAsia" w:hAnsiTheme="minorEastAsia"/>
          <w:b/>
          <w:sz w:val="32"/>
          <w:szCs w:val="32"/>
        </w:rPr>
        <w:t>的案由、罪名情况</w:t>
      </w:r>
    </w:p>
    <w:p>
      <w:pPr>
        <w:ind w:firstLine="643" w:firstLineChars="200"/>
        <w:rPr>
          <w:rFonts w:asciiTheme="minorEastAsia" w:hAnsiTheme="minorEastAsia"/>
          <w:b/>
          <w:sz w:val="32"/>
          <w:szCs w:val="32"/>
        </w:rPr>
      </w:pPr>
    </w:p>
    <w:p>
      <w:pPr>
        <w:ind w:firstLine="640" w:firstLineChars="200"/>
        <w:rPr>
          <w:rFonts w:asciiTheme="minorEastAsia" w:hAnsiTheme="minorEastAsia"/>
          <w:sz w:val="32"/>
          <w:szCs w:val="32"/>
        </w:rPr>
      </w:pPr>
      <w:r>
        <w:rPr>
          <w:rFonts w:asciiTheme="minorEastAsia" w:hAnsiTheme="minorEastAsia"/>
          <w:sz w:val="32"/>
          <w:szCs w:val="32"/>
        </w:rPr>
        <w:t>2021年</w:t>
      </w:r>
      <w:r>
        <w:rPr>
          <w:rFonts w:hint="eastAsia" w:asciiTheme="minorEastAsia" w:hAnsiTheme="minorEastAsia"/>
          <w:sz w:val="32"/>
          <w:szCs w:val="32"/>
        </w:rPr>
        <w:t>1-9月</w:t>
      </w:r>
      <w:r>
        <w:rPr>
          <w:rFonts w:asciiTheme="minorEastAsia" w:hAnsiTheme="minorEastAsia"/>
          <w:sz w:val="32"/>
          <w:szCs w:val="32"/>
        </w:rPr>
        <w:t>审结</w:t>
      </w:r>
      <w:r>
        <w:rPr>
          <w:rFonts w:hint="eastAsia" w:asciiTheme="minorEastAsia" w:hAnsiTheme="minorEastAsia"/>
          <w:sz w:val="32"/>
          <w:szCs w:val="32"/>
        </w:rPr>
        <w:t>的</w:t>
      </w:r>
      <w:r>
        <w:rPr>
          <w:rFonts w:asciiTheme="minorEastAsia" w:hAnsiTheme="minorEastAsia"/>
          <w:sz w:val="32"/>
          <w:szCs w:val="32"/>
        </w:rPr>
        <w:t>民事案件中，数量最多、占比最大的</w:t>
      </w:r>
      <w:r>
        <w:rPr>
          <w:rFonts w:hint="eastAsia" w:asciiTheme="minorEastAsia" w:hAnsiTheme="minorEastAsia"/>
          <w:sz w:val="32"/>
          <w:szCs w:val="32"/>
        </w:rPr>
        <w:t>3</w:t>
      </w:r>
      <w:r>
        <w:rPr>
          <w:rFonts w:asciiTheme="minorEastAsia" w:hAnsiTheme="minorEastAsia"/>
          <w:sz w:val="32"/>
          <w:szCs w:val="32"/>
        </w:rPr>
        <w:t xml:space="preserve"> 类案由分别是：合同纠纷</w:t>
      </w:r>
      <w:r>
        <w:rPr>
          <w:rFonts w:hint="eastAsia" w:asciiTheme="minorEastAsia" w:hAnsiTheme="minorEastAsia"/>
          <w:sz w:val="32"/>
          <w:szCs w:val="32"/>
        </w:rPr>
        <w:t>、</w:t>
      </w:r>
      <w:r>
        <w:rPr>
          <w:rFonts w:asciiTheme="minorEastAsia" w:hAnsiTheme="minorEastAsia"/>
          <w:sz w:val="32"/>
          <w:szCs w:val="32"/>
        </w:rPr>
        <w:t>婚姻家庭纠纷</w:t>
      </w:r>
      <w:r>
        <w:rPr>
          <w:rFonts w:hint="eastAsia" w:asciiTheme="minorEastAsia" w:hAnsiTheme="minorEastAsia"/>
          <w:sz w:val="32"/>
          <w:szCs w:val="32"/>
        </w:rPr>
        <w:t>、物权纠纷</w:t>
      </w:r>
      <w:r>
        <w:rPr>
          <w:rFonts w:asciiTheme="minorEastAsia" w:hAnsiTheme="minorEastAsia"/>
          <w:sz w:val="32"/>
          <w:szCs w:val="32"/>
        </w:rPr>
        <w:t>。</w:t>
      </w:r>
    </w:p>
    <w:p>
      <w:pPr>
        <w:ind w:firstLine="640" w:firstLineChars="200"/>
        <w:rPr>
          <w:rFonts w:asciiTheme="minorEastAsia" w:hAnsiTheme="minorEastAsia"/>
          <w:sz w:val="32"/>
          <w:szCs w:val="32"/>
        </w:rPr>
      </w:pPr>
      <w:r>
        <w:rPr>
          <w:rFonts w:asciiTheme="minorEastAsia" w:hAnsiTheme="minorEastAsia"/>
          <w:sz w:val="32"/>
          <w:szCs w:val="32"/>
        </w:rPr>
        <w:t>审结的刑事案件中，数量最多、占比最大的</w:t>
      </w:r>
      <w:r>
        <w:rPr>
          <w:rFonts w:hint="eastAsia" w:asciiTheme="minorEastAsia" w:hAnsiTheme="minorEastAsia"/>
          <w:sz w:val="32"/>
          <w:szCs w:val="32"/>
        </w:rPr>
        <w:t>3</w:t>
      </w:r>
      <w:r>
        <w:rPr>
          <w:rFonts w:asciiTheme="minorEastAsia" w:hAnsiTheme="minorEastAsia"/>
          <w:sz w:val="32"/>
          <w:szCs w:val="32"/>
        </w:rPr>
        <w:t>类罪名分别是：</w:t>
      </w:r>
      <w:r>
        <w:rPr>
          <w:rFonts w:hint="eastAsia" w:asciiTheme="minorEastAsia" w:hAnsiTheme="minorEastAsia"/>
          <w:sz w:val="32"/>
          <w:szCs w:val="32"/>
        </w:rPr>
        <w:t>妨害社会管理秩序罪、侵犯财产罪、危害公共安全罪。</w:t>
      </w:r>
    </w:p>
    <w:p>
      <w:pPr>
        <w:rPr>
          <w:rFonts w:asciiTheme="minorEastAsia" w:hAnsiTheme="minorEastAsia"/>
          <w:sz w:val="32"/>
          <w:szCs w:val="32"/>
        </w:rPr>
      </w:pPr>
    </w:p>
    <w:p>
      <w:pPr>
        <w:rPr>
          <w:rFonts w:asciiTheme="minorEastAsia" w:hAnsiTheme="minorEastAsia"/>
          <w:sz w:val="32"/>
          <w:szCs w:val="32"/>
        </w:rPr>
      </w:pPr>
      <w:r>
        <w:rPr>
          <w:rFonts w:asciiTheme="minorEastAsia" w:hAnsiTheme="minorEastAsia"/>
          <w:sz w:val="32"/>
          <w:szCs w:val="32"/>
        </w:rPr>
        <w:drawing>
          <wp:inline distT="0" distB="0" distL="0" distR="0">
            <wp:extent cx="3409950" cy="1847850"/>
            <wp:effectExtent l="19050" t="0" r="0" b="0"/>
            <wp:docPr id="55" name="图表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rPr>
          <w:rFonts w:asciiTheme="minorEastAsia" w:hAnsiTheme="minorEastAsia"/>
          <w:sz w:val="32"/>
          <w:szCs w:val="32"/>
        </w:rPr>
      </w:pPr>
      <w:r>
        <w:rPr>
          <w:rFonts w:asciiTheme="minorEastAsia" w:hAnsiTheme="minorEastAsia"/>
          <w:sz w:val="32"/>
          <w:szCs w:val="32"/>
        </w:rPr>
        <w:drawing>
          <wp:inline distT="0" distB="0" distL="0" distR="0">
            <wp:extent cx="3829050" cy="2400300"/>
            <wp:effectExtent l="0" t="0" r="0" b="0"/>
            <wp:docPr id="54" name="图表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bookmarkStart w:id="0" w:name="page7"/>
      <w:bookmarkEnd w:id="0"/>
      <w:bookmarkStart w:id="1" w:name="page10"/>
      <w:bookmarkEnd w:id="1"/>
    </w:p>
    <w:p>
      <w:pPr>
        <w:ind w:firstLine="630" w:firstLineChars="196"/>
        <w:rPr>
          <w:rFonts w:asciiTheme="minorEastAsia" w:hAnsiTheme="minorEastAsia"/>
          <w:b/>
          <w:sz w:val="32"/>
          <w:szCs w:val="32"/>
        </w:rPr>
      </w:pPr>
      <w:r>
        <w:rPr>
          <w:rFonts w:hint="eastAsia" w:asciiTheme="minorEastAsia" w:hAnsiTheme="minorEastAsia"/>
          <w:b/>
          <w:sz w:val="32"/>
          <w:szCs w:val="32"/>
        </w:rPr>
        <w:t>五、</w:t>
      </w:r>
      <w:r>
        <w:rPr>
          <w:rFonts w:asciiTheme="minorEastAsia" w:hAnsiTheme="minorEastAsia"/>
          <w:b/>
          <w:sz w:val="32"/>
          <w:szCs w:val="32"/>
        </w:rPr>
        <w:t>审结</w:t>
      </w:r>
      <w:r>
        <w:rPr>
          <w:rFonts w:hint="eastAsia" w:asciiTheme="minorEastAsia" w:hAnsiTheme="minorEastAsia"/>
          <w:b/>
          <w:sz w:val="32"/>
          <w:szCs w:val="32"/>
        </w:rPr>
        <w:t>诉讼</w:t>
      </w:r>
      <w:r>
        <w:rPr>
          <w:rFonts w:asciiTheme="minorEastAsia" w:hAnsiTheme="minorEastAsia"/>
          <w:b/>
          <w:sz w:val="32"/>
          <w:szCs w:val="32"/>
        </w:rPr>
        <w:t>类案件一审简易</w:t>
      </w:r>
      <w:r>
        <w:rPr>
          <w:rFonts w:hint="eastAsia" w:asciiTheme="minorEastAsia" w:hAnsiTheme="minorEastAsia"/>
          <w:b/>
          <w:sz w:val="32"/>
          <w:szCs w:val="32"/>
        </w:rPr>
        <w:t>程</w:t>
      </w:r>
      <w:r>
        <w:rPr>
          <w:rFonts w:asciiTheme="minorEastAsia" w:hAnsiTheme="minorEastAsia"/>
          <w:b/>
          <w:sz w:val="32"/>
          <w:szCs w:val="32"/>
        </w:rPr>
        <w:t>序适用率、二审发回重审率、改判率情况</w:t>
      </w:r>
    </w:p>
    <w:p>
      <w:pPr>
        <w:ind w:firstLine="627" w:firstLineChars="196"/>
        <w:rPr>
          <w:rFonts w:asciiTheme="minorEastAsia" w:hAnsiTheme="minorEastAsia"/>
          <w:sz w:val="32"/>
          <w:szCs w:val="32"/>
        </w:rPr>
      </w:pPr>
      <w:r>
        <w:rPr>
          <w:rFonts w:hint="eastAsia" w:asciiTheme="minorEastAsia" w:hAnsiTheme="minorEastAsia"/>
          <w:sz w:val="32"/>
          <w:szCs w:val="32"/>
        </w:rPr>
        <w:t>简易程序适用率为94.18%。</w:t>
      </w:r>
    </w:p>
    <w:p>
      <w:pPr>
        <w:snapToGrid w:val="0"/>
        <w:ind w:firstLine="640" w:firstLineChars="200"/>
        <w:rPr>
          <w:rFonts w:asciiTheme="minorEastAsia" w:hAnsiTheme="minorEastAsia"/>
          <w:color w:val="000000" w:themeColor="text1"/>
          <w:sz w:val="32"/>
          <w:szCs w:val="32"/>
        </w:rPr>
      </w:pPr>
      <w:r>
        <w:rPr>
          <w:rFonts w:hint="eastAsia" w:cs="宋体" w:asciiTheme="minorEastAsia" w:hAnsiTheme="minorEastAsia"/>
          <w:color w:val="000000" w:themeColor="text1"/>
          <w:sz w:val="32"/>
          <w:szCs w:val="32"/>
        </w:rPr>
        <w:t>被上级法院改判、被发回重审案件12件。</w:t>
      </w:r>
      <w:r>
        <w:rPr>
          <w:rFonts w:hint="eastAsia" w:asciiTheme="minorEastAsia" w:hAnsiTheme="minorEastAsia"/>
          <w:color w:val="000000" w:themeColor="text1"/>
          <w:sz w:val="32"/>
          <w:szCs w:val="32"/>
        </w:rPr>
        <w:t>三季度，</w:t>
      </w:r>
      <w:r>
        <w:rPr>
          <w:rFonts w:hint="eastAsia" w:cs="宋体" w:asciiTheme="minorEastAsia" w:hAnsiTheme="minorEastAsia"/>
          <w:color w:val="000000" w:themeColor="text1"/>
          <w:sz w:val="32"/>
          <w:szCs w:val="32"/>
        </w:rPr>
        <w:t>被二审改判共计9件</w:t>
      </w:r>
      <w:r>
        <w:rPr>
          <w:rFonts w:hint="eastAsia" w:asciiTheme="minorEastAsia" w:hAnsiTheme="minorEastAsia"/>
          <w:color w:val="000000" w:themeColor="text1"/>
          <w:sz w:val="32"/>
          <w:szCs w:val="32"/>
        </w:rPr>
        <w:t>（2020年同期7件），减少2件；</w:t>
      </w:r>
      <w:r>
        <w:rPr>
          <w:rFonts w:hint="eastAsia" w:cs="宋体" w:asciiTheme="minorEastAsia" w:hAnsiTheme="minorEastAsia"/>
          <w:color w:val="000000" w:themeColor="text1"/>
          <w:sz w:val="32"/>
          <w:szCs w:val="32"/>
        </w:rPr>
        <w:t>被发回重审共计3件</w:t>
      </w:r>
      <w:r>
        <w:rPr>
          <w:rFonts w:hint="eastAsia" w:asciiTheme="minorEastAsia" w:hAnsiTheme="minorEastAsia"/>
          <w:color w:val="000000" w:themeColor="text1"/>
          <w:sz w:val="32"/>
          <w:szCs w:val="32"/>
        </w:rPr>
        <w:t>（2020年同期6件），共下降1件。</w:t>
      </w:r>
    </w:p>
    <w:p>
      <w:pPr>
        <w:snapToGrid w:val="0"/>
        <w:ind w:firstLine="640" w:firstLineChars="200"/>
        <w:rPr>
          <w:rFonts w:asciiTheme="minorEastAsia" w:hAnsiTheme="minorEastAsia"/>
          <w:color w:val="000000" w:themeColor="text1"/>
          <w:sz w:val="32"/>
          <w:szCs w:val="32"/>
        </w:rPr>
      </w:pPr>
    </w:p>
    <w:p>
      <w:pPr>
        <w:ind w:firstLine="630" w:firstLineChars="196"/>
        <w:rPr>
          <w:rFonts w:asciiTheme="minorEastAsia" w:hAnsiTheme="minorEastAsia"/>
          <w:b/>
          <w:sz w:val="32"/>
          <w:szCs w:val="32"/>
        </w:rPr>
      </w:pPr>
      <w:r>
        <w:rPr>
          <w:rFonts w:hint="eastAsia" w:asciiTheme="minorEastAsia" w:hAnsiTheme="minorEastAsia"/>
          <w:b/>
          <w:sz w:val="32"/>
          <w:szCs w:val="32"/>
        </w:rPr>
        <w:t>六</w:t>
      </w:r>
      <w:r>
        <w:rPr>
          <w:rFonts w:asciiTheme="minorEastAsia" w:hAnsiTheme="minorEastAsia"/>
          <w:b/>
          <w:sz w:val="32"/>
          <w:szCs w:val="32"/>
        </w:rPr>
        <w:t>、分类型、分月收结案件情况</w:t>
      </w:r>
    </w:p>
    <w:p>
      <w:pPr>
        <w:ind w:firstLine="627" w:firstLineChars="196"/>
        <w:rPr>
          <w:rFonts w:asciiTheme="minorEastAsia" w:hAnsiTheme="minorEastAsia"/>
          <w:color w:val="000000" w:themeColor="text1"/>
          <w:sz w:val="32"/>
          <w:szCs w:val="32"/>
        </w:rPr>
      </w:pPr>
      <w:r>
        <w:rPr>
          <w:rFonts w:asciiTheme="minorEastAsia" w:hAnsiTheme="minorEastAsia"/>
          <w:sz w:val="32"/>
          <w:szCs w:val="32"/>
        </w:rPr>
        <w:t>2021年三季度，民事、</w:t>
      </w:r>
      <w:r>
        <w:rPr>
          <w:rFonts w:hint="eastAsia" w:asciiTheme="minorEastAsia" w:hAnsiTheme="minorEastAsia"/>
          <w:sz w:val="32"/>
          <w:szCs w:val="32"/>
        </w:rPr>
        <w:t>刑事、执行</w:t>
      </w:r>
      <w:r>
        <w:rPr>
          <w:rFonts w:asciiTheme="minorEastAsia" w:hAnsiTheme="minorEastAsia"/>
          <w:sz w:val="32"/>
          <w:szCs w:val="32"/>
        </w:rPr>
        <w:t>案件在在新收案件中分别占比</w:t>
      </w:r>
      <w:r>
        <w:rPr>
          <w:rFonts w:hint="eastAsia" w:asciiTheme="minorEastAsia" w:hAnsiTheme="minorEastAsia"/>
          <w:sz w:val="32"/>
          <w:szCs w:val="32"/>
        </w:rPr>
        <w:t>54.82</w:t>
      </w:r>
      <w:r>
        <w:rPr>
          <w:rFonts w:asciiTheme="minorEastAsia" w:hAnsiTheme="minorEastAsia"/>
          <w:sz w:val="32"/>
          <w:szCs w:val="32"/>
        </w:rPr>
        <w:t>%、</w:t>
      </w:r>
      <w:r>
        <w:rPr>
          <w:rFonts w:hint="eastAsia" w:asciiTheme="minorEastAsia" w:hAnsiTheme="minorEastAsia"/>
          <w:sz w:val="32"/>
          <w:szCs w:val="32"/>
        </w:rPr>
        <w:t>5.38</w:t>
      </w:r>
      <w:r>
        <w:rPr>
          <w:rFonts w:asciiTheme="minorEastAsia" w:hAnsiTheme="minorEastAsia"/>
          <w:sz w:val="32"/>
          <w:szCs w:val="32"/>
        </w:rPr>
        <w:t>%</w:t>
      </w:r>
      <w:r>
        <w:rPr>
          <w:rFonts w:hint="eastAsia" w:asciiTheme="minorEastAsia" w:hAnsiTheme="minorEastAsia"/>
          <w:sz w:val="32"/>
          <w:szCs w:val="32"/>
        </w:rPr>
        <w:t>、35.54%</w:t>
      </w:r>
      <w:r>
        <w:rPr>
          <w:rFonts w:asciiTheme="minorEastAsia" w:hAnsiTheme="minorEastAsia"/>
          <w:sz w:val="32"/>
          <w:szCs w:val="32"/>
        </w:rPr>
        <w:t xml:space="preserve">，在审结案件中分别占比 </w:t>
      </w:r>
      <w:r>
        <w:rPr>
          <w:rFonts w:hint="eastAsia" w:asciiTheme="minorEastAsia" w:hAnsiTheme="minorEastAsia"/>
          <w:sz w:val="32"/>
          <w:szCs w:val="32"/>
        </w:rPr>
        <w:t>54.98</w:t>
      </w:r>
      <w:r>
        <w:rPr>
          <w:rFonts w:asciiTheme="minorEastAsia" w:hAnsiTheme="minorEastAsia"/>
          <w:sz w:val="32"/>
          <w:szCs w:val="32"/>
        </w:rPr>
        <w:t>%、</w:t>
      </w:r>
      <w:r>
        <w:rPr>
          <w:rFonts w:hint="eastAsia" w:asciiTheme="minorEastAsia" w:hAnsiTheme="minorEastAsia"/>
          <w:sz w:val="32"/>
          <w:szCs w:val="32"/>
        </w:rPr>
        <w:t>35.56</w:t>
      </w:r>
      <w:r>
        <w:rPr>
          <w:rFonts w:asciiTheme="minorEastAsia" w:hAnsiTheme="minorEastAsia"/>
          <w:sz w:val="32"/>
          <w:szCs w:val="32"/>
        </w:rPr>
        <w:t>%</w:t>
      </w:r>
      <w:r>
        <w:rPr>
          <w:rFonts w:hint="eastAsia" w:asciiTheme="minorEastAsia" w:hAnsiTheme="minorEastAsia"/>
          <w:sz w:val="32"/>
          <w:szCs w:val="32"/>
        </w:rPr>
        <w:t>、5.17%</w:t>
      </w:r>
      <w:r>
        <w:rPr>
          <w:rFonts w:asciiTheme="minorEastAsia" w:hAnsiTheme="minorEastAsia"/>
          <w:sz w:val="32"/>
          <w:szCs w:val="32"/>
        </w:rPr>
        <w:t>。</w:t>
      </w:r>
      <w:r>
        <w:rPr>
          <w:rFonts w:hint="eastAsia" w:asciiTheme="minorEastAsia" w:hAnsiTheme="minorEastAsia"/>
          <w:color w:val="000000" w:themeColor="text1"/>
          <w:sz w:val="32"/>
          <w:szCs w:val="32"/>
        </w:rPr>
        <w:t>1-9月</w:t>
      </w:r>
      <w:r>
        <w:rPr>
          <w:rFonts w:asciiTheme="minorEastAsia" w:hAnsiTheme="minorEastAsia"/>
          <w:color w:val="000000" w:themeColor="text1"/>
          <w:sz w:val="32"/>
          <w:szCs w:val="32"/>
        </w:rPr>
        <w:t>新收案件数基本趋于平稳，除</w:t>
      </w:r>
      <w:r>
        <w:rPr>
          <w:rFonts w:hint="eastAsia" w:asciiTheme="minorEastAsia" w:hAnsiTheme="minorEastAsia"/>
          <w:color w:val="000000" w:themeColor="text1"/>
          <w:sz w:val="32"/>
          <w:szCs w:val="32"/>
        </w:rPr>
        <w:t>1月、5月</w:t>
      </w:r>
      <w:r>
        <w:rPr>
          <w:rFonts w:asciiTheme="minorEastAsia" w:hAnsiTheme="minorEastAsia"/>
          <w:color w:val="000000" w:themeColor="text1"/>
          <w:sz w:val="32"/>
          <w:szCs w:val="32"/>
        </w:rPr>
        <w:t>收案数降幅较</w:t>
      </w:r>
      <w:r>
        <w:rPr>
          <w:rFonts w:hint="eastAsia" w:asciiTheme="minorEastAsia" w:hAnsiTheme="minorEastAsia"/>
          <w:color w:val="000000" w:themeColor="text1"/>
          <w:sz w:val="32"/>
          <w:szCs w:val="32"/>
        </w:rPr>
        <w:t>多</w:t>
      </w:r>
      <w:r>
        <w:rPr>
          <w:rFonts w:asciiTheme="minorEastAsia" w:hAnsiTheme="minorEastAsia"/>
          <w:color w:val="000000" w:themeColor="text1"/>
          <w:sz w:val="32"/>
          <w:szCs w:val="32"/>
        </w:rPr>
        <w:t>外，其余各月大体平衡。结案数方面，</w:t>
      </w:r>
      <w:r>
        <w:rPr>
          <w:rFonts w:hint="eastAsia" w:asciiTheme="minorEastAsia" w:hAnsiTheme="minorEastAsia"/>
          <w:color w:val="000000" w:themeColor="text1"/>
          <w:sz w:val="32"/>
          <w:szCs w:val="32"/>
        </w:rPr>
        <w:t>1</w:t>
      </w:r>
      <w:r>
        <w:rPr>
          <w:rFonts w:asciiTheme="minorEastAsia" w:hAnsiTheme="minorEastAsia"/>
          <w:color w:val="000000" w:themeColor="text1"/>
          <w:sz w:val="32"/>
          <w:szCs w:val="32"/>
        </w:rPr>
        <w:t>月</w:t>
      </w:r>
      <w:r>
        <w:rPr>
          <w:rFonts w:hint="eastAsia" w:asciiTheme="minorEastAsia" w:hAnsiTheme="minorEastAsia"/>
          <w:color w:val="000000" w:themeColor="text1"/>
          <w:sz w:val="32"/>
          <w:szCs w:val="32"/>
        </w:rPr>
        <w:t>、6月</w:t>
      </w:r>
      <w:r>
        <w:rPr>
          <w:rFonts w:asciiTheme="minorEastAsia" w:hAnsiTheme="minorEastAsia"/>
          <w:color w:val="000000" w:themeColor="text1"/>
          <w:sz w:val="32"/>
          <w:szCs w:val="32"/>
        </w:rPr>
        <w:t>结案数明显高于</w:t>
      </w:r>
      <w:r>
        <w:rPr>
          <w:rFonts w:hint="eastAsia" w:asciiTheme="minorEastAsia" w:hAnsiTheme="minorEastAsia"/>
          <w:color w:val="000000" w:themeColor="text1"/>
          <w:sz w:val="32"/>
          <w:szCs w:val="32"/>
        </w:rPr>
        <w:t>其他月份</w:t>
      </w:r>
      <w:r>
        <w:rPr>
          <w:rFonts w:asciiTheme="minorEastAsia" w:hAnsiTheme="minorEastAsia"/>
          <w:color w:val="000000" w:themeColor="text1"/>
          <w:sz w:val="32"/>
          <w:szCs w:val="32"/>
        </w:rPr>
        <w:t>。</w:t>
      </w:r>
    </w:p>
    <w:p>
      <w:pPr>
        <w:ind w:firstLine="627" w:firstLineChars="196"/>
        <w:rPr>
          <w:rFonts w:asciiTheme="minorEastAsia" w:hAnsiTheme="minorEastAsia"/>
          <w:color w:val="000000" w:themeColor="text1"/>
          <w:sz w:val="32"/>
          <w:szCs w:val="32"/>
        </w:rPr>
      </w:pPr>
    </w:p>
    <w:p>
      <w:pPr>
        <w:ind w:firstLine="960" w:firstLineChars="300"/>
        <w:rPr>
          <w:rFonts w:asciiTheme="minorEastAsia" w:hAnsiTheme="minorEastAsia"/>
          <w:color w:val="000000" w:themeColor="text1"/>
          <w:sz w:val="32"/>
          <w:szCs w:val="32"/>
        </w:rPr>
      </w:pPr>
      <w:r>
        <w:rPr>
          <w:rFonts w:hint="eastAsia" w:asciiTheme="minorEastAsia" w:hAnsiTheme="minorEastAsia"/>
          <w:color w:val="000000" w:themeColor="text1"/>
          <w:sz w:val="32"/>
          <w:szCs w:val="32"/>
        </w:rPr>
        <w:drawing>
          <wp:inline distT="0" distB="0" distL="0" distR="0">
            <wp:extent cx="4124325" cy="2743200"/>
            <wp:effectExtent l="0" t="0" r="0" b="0"/>
            <wp:docPr id="57" name="图表 5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spacing w:line="480" w:lineRule="exact"/>
        <w:ind w:firstLine="643" w:firstLineChars="200"/>
        <w:rPr>
          <w:rFonts w:asciiTheme="minorEastAsia" w:hAnsiTheme="minorEastAsia"/>
          <w:b/>
          <w:sz w:val="32"/>
          <w:szCs w:val="32"/>
        </w:rPr>
      </w:pPr>
    </w:p>
    <w:p>
      <w:pPr>
        <w:spacing w:line="480" w:lineRule="exact"/>
        <w:ind w:firstLine="643" w:firstLineChars="200"/>
        <w:rPr>
          <w:rFonts w:asciiTheme="minorEastAsia" w:hAnsiTheme="minorEastAsia"/>
          <w:b/>
          <w:sz w:val="32"/>
          <w:szCs w:val="32"/>
        </w:rPr>
      </w:pPr>
      <w:r>
        <w:rPr>
          <w:rFonts w:hint="eastAsia" w:asciiTheme="minorEastAsia" w:hAnsiTheme="minorEastAsia"/>
          <w:b/>
          <w:sz w:val="32"/>
          <w:szCs w:val="32"/>
        </w:rPr>
        <w:t>七</w:t>
      </w:r>
      <w:r>
        <w:rPr>
          <w:rFonts w:asciiTheme="minorEastAsia" w:hAnsiTheme="minorEastAsia"/>
          <w:b/>
          <w:sz w:val="32"/>
          <w:szCs w:val="32"/>
        </w:rPr>
        <w:t>、未结</w:t>
      </w:r>
      <w:r>
        <w:rPr>
          <w:rFonts w:hint="eastAsia" w:asciiTheme="minorEastAsia" w:hAnsiTheme="minorEastAsia"/>
          <w:b/>
          <w:sz w:val="32"/>
          <w:szCs w:val="32"/>
        </w:rPr>
        <w:t>诉讼</w:t>
      </w:r>
      <w:r>
        <w:rPr>
          <w:rFonts w:asciiTheme="minorEastAsia" w:hAnsiTheme="minorEastAsia"/>
          <w:b/>
          <w:sz w:val="32"/>
          <w:szCs w:val="32"/>
        </w:rPr>
        <w:t>类案件情况</w:t>
      </w:r>
    </w:p>
    <w:p>
      <w:pPr>
        <w:spacing w:line="480" w:lineRule="exact"/>
        <w:rPr>
          <w:rFonts w:asciiTheme="minorEastAsia" w:hAnsiTheme="minorEastAsia"/>
          <w:b/>
          <w:sz w:val="32"/>
          <w:szCs w:val="32"/>
        </w:rPr>
      </w:pPr>
    </w:p>
    <w:p>
      <w:pPr>
        <w:spacing w:line="480" w:lineRule="exact"/>
        <w:ind w:firstLine="640" w:firstLineChars="200"/>
        <w:rPr>
          <w:rFonts w:hint="eastAsia" w:asciiTheme="minorEastAsia" w:hAnsiTheme="minorEastAsia"/>
          <w:sz w:val="32"/>
          <w:szCs w:val="32"/>
        </w:rPr>
      </w:pPr>
      <w:r>
        <w:rPr>
          <w:rFonts w:asciiTheme="minorEastAsia" w:hAnsiTheme="minorEastAsia"/>
          <w:sz w:val="32"/>
          <w:szCs w:val="32"/>
        </w:rPr>
        <w:t>截至2021 年</w:t>
      </w:r>
      <w:r>
        <w:rPr>
          <w:rFonts w:hint="eastAsia" w:asciiTheme="minorEastAsia" w:hAnsiTheme="minorEastAsia"/>
          <w:sz w:val="32"/>
          <w:szCs w:val="32"/>
        </w:rPr>
        <w:t>9</w:t>
      </w:r>
      <w:r>
        <w:rPr>
          <w:rFonts w:asciiTheme="minorEastAsia" w:hAnsiTheme="minorEastAsia"/>
          <w:sz w:val="32"/>
          <w:szCs w:val="32"/>
        </w:rPr>
        <w:t>月3</w:t>
      </w:r>
      <w:r>
        <w:rPr>
          <w:rFonts w:hint="eastAsia" w:asciiTheme="minorEastAsia" w:hAnsiTheme="minorEastAsia"/>
          <w:sz w:val="32"/>
          <w:szCs w:val="32"/>
        </w:rPr>
        <w:t>0</w:t>
      </w:r>
      <w:r>
        <w:rPr>
          <w:rFonts w:asciiTheme="minorEastAsia" w:hAnsiTheme="minorEastAsia"/>
          <w:sz w:val="32"/>
          <w:szCs w:val="32"/>
        </w:rPr>
        <w:t xml:space="preserve">日， </w:t>
      </w:r>
      <w:r>
        <w:rPr>
          <w:rFonts w:hint="eastAsia" w:asciiTheme="minorEastAsia" w:hAnsiTheme="minorEastAsia"/>
          <w:sz w:val="32"/>
          <w:szCs w:val="32"/>
        </w:rPr>
        <w:t>诉讼案件未结10件，其中，刑事案件未结2件（2020年同期0件），同比下降2件；民事案件未结8件（2020年同期31件），同比下降23件。</w:t>
      </w:r>
    </w:p>
    <w:p>
      <w:pPr>
        <w:spacing w:line="480" w:lineRule="exact"/>
        <w:ind w:firstLine="640" w:firstLineChars="200"/>
        <w:rPr>
          <w:rFonts w:hint="eastAsia" w:asciiTheme="minorEastAsia" w:hAnsiTheme="minorEastAsia"/>
          <w:color w:val="000000" w:themeColor="text1"/>
          <w:sz w:val="32"/>
          <w:szCs w:val="32"/>
        </w:rPr>
      </w:pPr>
      <w:r>
        <w:rPr>
          <w:rFonts w:asciiTheme="minorEastAsia" w:hAnsiTheme="minorEastAsia"/>
          <w:color w:val="000000" w:themeColor="text1"/>
          <w:sz w:val="32"/>
          <w:szCs w:val="32"/>
        </w:rPr>
        <w:t xml:space="preserve"> </w:t>
      </w:r>
    </w:p>
    <w:p>
      <w:pPr>
        <w:spacing w:line="480" w:lineRule="exact"/>
        <w:ind w:firstLine="640" w:firstLineChars="200"/>
        <w:rPr>
          <w:rFonts w:asciiTheme="minorEastAsia" w:hAnsiTheme="minorEastAsia"/>
          <w:color w:val="000000" w:themeColor="text1"/>
          <w:sz w:val="32"/>
          <w:szCs w:val="32"/>
        </w:rPr>
      </w:pPr>
    </w:p>
    <w:p>
      <w:pPr>
        <w:spacing w:line="480" w:lineRule="exact"/>
        <w:ind w:firstLine="630" w:firstLineChars="196"/>
        <w:rPr>
          <w:rFonts w:asciiTheme="minorEastAsia" w:hAnsiTheme="minorEastAsia"/>
          <w:b/>
          <w:sz w:val="32"/>
          <w:szCs w:val="32"/>
        </w:rPr>
      </w:pPr>
      <w:r>
        <w:rPr>
          <w:rFonts w:hint="eastAsia" w:asciiTheme="minorEastAsia" w:hAnsiTheme="minorEastAsia"/>
          <w:b/>
          <w:sz w:val="32"/>
          <w:szCs w:val="32"/>
        </w:rPr>
        <w:t>八</w:t>
      </w:r>
      <w:r>
        <w:rPr>
          <w:rFonts w:asciiTheme="minorEastAsia" w:hAnsiTheme="minorEastAsia"/>
          <w:b/>
          <w:sz w:val="32"/>
          <w:szCs w:val="32"/>
        </w:rPr>
        <w:t>、长期未结诉讼案件情况</w:t>
      </w:r>
    </w:p>
    <w:p>
      <w:pPr>
        <w:spacing w:line="480" w:lineRule="exact"/>
        <w:rPr>
          <w:rFonts w:asciiTheme="minorEastAsia" w:hAnsiTheme="minorEastAsia"/>
          <w:b/>
          <w:sz w:val="32"/>
          <w:szCs w:val="32"/>
        </w:rPr>
      </w:pPr>
    </w:p>
    <w:p>
      <w:pPr>
        <w:spacing w:line="480" w:lineRule="exact"/>
        <w:ind w:firstLine="642"/>
        <w:rPr>
          <w:rFonts w:asciiTheme="minorEastAsia" w:hAnsiTheme="minorEastAsia"/>
          <w:sz w:val="32"/>
          <w:szCs w:val="32"/>
        </w:rPr>
      </w:pPr>
      <w:r>
        <w:rPr>
          <w:rFonts w:hint="eastAsia" w:asciiTheme="minorEastAsia" w:hAnsiTheme="minorEastAsia"/>
          <w:sz w:val="32"/>
          <w:szCs w:val="32"/>
        </w:rPr>
        <w:t>我院有1件旧存民事案件，因等待鉴定结果尚无法结案。</w:t>
      </w:r>
    </w:p>
    <w:p>
      <w:pPr>
        <w:spacing w:line="480" w:lineRule="exact"/>
        <w:ind w:firstLine="642"/>
        <w:rPr>
          <w:rFonts w:hint="eastAsia" w:asciiTheme="minorEastAsia" w:hAnsiTheme="minorEastAsia"/>
          <w:sz w:val="32"/>
          <w:szCs w:val="32"/>
        </w:rPr>
      </w:pPr>
    </w:p>
    <w:p>
      <w:pPr>
        <w:spacing w:line="480" w:lineRule="exact"/>
        <w:ind w:firstLine="642"/>
        <w:rPr>
          <w:rFonts w:hint="eastAsia" w:asciiTheme="minorEastAsia" w:hAnsiTheme="minorEastAsia"/>
          <w:sz w:val="32"/>
          <w:szCs w:val="32"/>
        </w:rPr>
      </w:pPr>
    </w:p>
    <w:p>
      <w:pPr>
        <w:spacing w:line="480" w:lineRule="exact"/>
        <w:ind w:firstLine="642"/>
        <w:rPr>
          <w:rFonts w:asciiTheme="minorEastAsia" w:hAnsiTheme="minorEastAsia"/>
          <w:sz w:val="32"/>
          <w:szCs w:val="32"/>
        </w:rPr>
      </w:pPr>
    </w:p>
    <w:p>
      <w:pPr>
        <w:spacing w:line="480" w:lineRule="exact"/>
        <w:ind w:firstLine="630" w:firstLineChars="196"/>
        <w:rPr>
          <w:rFonts w:asciiTheme="minorEastAsia" w:hAnsiTheme="minorEastAsia"/>
          <w:b/>
          <w:color w:val="000000" w:themeColor="text1"/>
          <w:sz w:val="32"/>
          <w:szCs w:val="32"/>
        </w:rPr>
      </w:pPr>
      <w:r>
        <w:rPr>
          <w:rFonts w:hint="eastAsia" w:asciiTheme="minorEastAsia" w:hAnsiTheme="minorEastAsia"/>
          <w:b/>
          <w:color w:val="000000" w:themeColor="text1"/>
          <w:sz w:val="32"/>
          <w:szCs w:val="32"/>
        </w:rPr>
        <w:t>九</w:t>
      </w:r>
      <w:r>
        <w:rPr>
          <w:rFonts w:asciiTheme="minorEastAsia" w:hAnsiTheme="minorEastAsia"/>
          <w:b/>
          <w:color w:val="000000" w:themeColor="text1"/>
          <w:sz w:val="32"/>
          <w:szCs w:val="32"/>
        </w:rPr>
        <w:t>、执行工作总体情况</w:t>
      </w:r>
    </w:p>
    <w:p>
      <w:pPr>
        <w:spacing w:line="480" w:lineRule="exact"/>
        <w:rPr>
          <w:rFonts w:asciiTheme="minorEastAsia" w:hAnsiTheme="minorEastAsia"/>
          <w:color w:val="000000" w:themeColor="text1"/>
          <w:sz w:val="32"/>
          <w:szCs w:val="32"/>
        </w:rPr>
      </w:pPr>
    </w:p>
    <w:p>
      <w:pPr>
        <w:ind w:firstLine="643" w:firstLineChars="200"/>
        <w:rPr>
          <w:rFonts w:asciiTheme="minorEastAsia" w:hAnsiTheme="minorEastAsia"/>
          <w:b/>
          <w:color w:val="000000" w:themeColor="text1"/>
          <w:sz w:val="32"/>
          <w:szCs w:val="32"/>
        </w:rPr>
      </w:pPr>
      <w:r>
        <w:rPr>
          <w:rFonts w:hint="eastAsia" w:asciiTheme="minorEastAsia" w:hAnsiTheme="minorEastAsia"/>
          <w:b/>
          <w:color w:val="000000" w:themeColor="text1"/>
          <w:sz w:val="32"/>
          <w:szCs w:val="32"/>
        </w:rPr>
        <w:t>（一）全部执行类案件</w:t>
      </w:r>
    </w:p>
    <w:p>
      <w:pPr>
        <w:ind w:firstLine="640" w:firstLineChars="200"/>
        <w:rPr>
          <w:rFonts w:asciiTheme="minorEastAsia" w:hAnsiTheme="minorEastAsia"/>
          <w:color w:val="FF0000"/>
          <w:sz w:val="32"/>
          <w:szCs w:val="32"/>
        </w:rPr>
      </w:pPr>
      <w:r>
        <w:rPr>
          <w:rFonts w:hint="eastAsia" w:asciiTheme="minorEastAsia" w:hAnsiTheme="minorEastAsia"/>
          <w:color w:val="FF0000"/>
          <w:sz w:val="32"/>
          <w:szCs w:val="32"/>
        </w:rPr>
        <w:t>2021 年度旧存执行案件11件，新收242件，旧存加新收合计253件（2020年同期旧存 22件;新收205件），结案250件，结案率98.81%（2020年同期180件，79.74%），同比上升19.07%。未结案件3件。首次执行案件实际执行到位金额 995.78万元，恢复执行案件实际执行到位金额232.34万元，总计1228.12万元。</w:t>
      </w:r>
    </w:p>
    <w:p>
      <w:pPr>
        <w:rPr>
          <w:rFonts w:asciiTheme="minorEastAsia" w:hAnsiTheme="minorEastAsia"/>
          <w:color w:val="FF0000"/>
          <w:sz w:val="32"/>
          <w:szCs w:val="32"/>
        </w:rPr>
      </w:pPr>
      <w:r>
        <w:rPr>
          <w:rFonts w:asciiTheme="minorEastAsia" w:hAnsiTheme="minorEastAsia"/>
          <w:color w:val="FF0000"/>
          <w:sz w:val="32"/>
          <w:szCs w:val="32"/>
        </w:rPr>
        <w:drawing>
          <wp:inline distT="0" distB="0" distL="0" distR="0">
            <wp:extent cx="4819650" cy="2609850"/>
            <wp:effectExtent l="0" t="0" r="0" b="0"/>
            <wp:docPr id="58" name="图表 5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ind w:firstLine="643" w:firstLineChars="200"/>
        <w:rPr>
          <w:rFonts w:asciiTheme="minorEastAsia" w:hAnsiTheme="minorEastAsia"/>
          <w:b/>
          <w:color w:val="FF0000"/>
          <w:sz w:val="32"/>
          <w:szCs w:val="32"/>
        </w:rPr>
      </w:pPr>
      <w:r>
        <w:rPr>
          <w:rFonts w:hint="eastAsia" w:asciiTheme="minorEastAsia" w:hAnsiTheme="minorEastAsia"/>
          <w:b/>
          <w:color w:val="FF0000"/>
          <w:sz w:val="32"/>
          <w:szCs w:val="32"/>
        </w:rPr>
        <w:t>（二）首次执行案件</w:t>
      </w:r>
    </w:p>
    <w:p>
      <w:pPr>
        <w:ind w:firstLine="643" w:firstLineChars="200"/>
        <w:rPr>
          <w:rFonts w:asciiTheme="minorEastAsia" w:hAnsiTheme="minorEastAsia"/>
          <w:b/>
          <w:color w:val="FF0000"/>
          <w:sz w:val="32"/>
          <w:szCs w:val="32"/>
        </w:rPr>
      </w:pPr>
    </w:p>
    <w:p>
      <w:pPr>
        <w:ind w:firstLine="640" w:firstLineChars="200"/>
        <w:rPr>
          <w:rFonts w:asciiTheme="minorEastAsia" w:hAnsiTheme="minorEastAsia"/>
          <w:color w:val="FF0000"/>
          <w:sz w:val="32"/>
          <w:szCs w:val="32"/>
        </w:rPr>
      </w:pPr>
      <w:r>
        <w:rPr>
          <w:rFonts w:hint="eastAsia" w:asciiTheme="minorEastAsia" w:hAnsiTheme="minorEastAsia"/>
          <w:color w:val="FF0000"/>
          <w:sz w:val="32"/>
          <w:szCs w:val="32"/>
        </w:rPr>
        <w:t>2021 年三个季度，我院首次执行案件总数196件。结案193件，未结 3件。首次执行案件实际执结122件,实际执结中，执行完毕70件，终结执行26件，不予执行0件，驳回申请0件。执保70件（不含此内）。</w:t>
      </w:r>
    </w:p>
    <w:p>
      <w:pPr>
        <w:ind w:firstLine="640" w:firstLineChars="200"/>
        <w:rPr>
          <w:rFonts w:asciiTheme="minorEastAsia" w:hAnsiTheme="minorEastAsia"/>
          <w:color w:val="FF0000"/>
          <w:sz w:val="32"/>
          <w:szCs w:val="32"/>
        </w:rPr>
      </w:pPr>
      <w:r>
        <w:rPr>
          <w:rFonts w:hint="eastAsia" w:asciiTheme="minorEastAsia" w:hAnsiTheme="minorEastAsia"/>
          <w:color w:val="FF0000"/>
          <w:sz w:val="32"/>
          <w:szCs w:val="32"/>
        </w:rPr>
        <w:t>首次执行实施案件实际执行到位金额995.78万元，未执行到位金额4066.10万元。实际执行到位率（实际执行到位金额/首次执行案件申请执行标的金额）为24.49%。</w:t>
      </w:r>
    </w:p>
    <w:p>
      <w:pPr>
        <w:ind w:firstLine="640" w:firstLineChars="200"/>
        <w:rPr>
          <w:rFonts w:asciiTheme="minorEastAsia" w:hAnsiTheme="minorEastAsia"/>
          <w:color w:val="FF0000"/>
          <w:sz w:val="32"/>
          <w:szCs w:val="32"/>
        </w:rPr>
      </w:pPr>
      <w:r>
        <w:rPr>
          <w:rFonts w:hint="eastAsia" w:asciiTheme="minorEastAsia" w:hAnsiTheme="minorEastAsia"/>
          <w:color w:val="FF0000"/>
          <w:sz w:val="32"/>
          <w:szCs w:val="32"/>
        </w:rPr>
        <w:t>实际执行到位金额995.78万元中，执行完毕案件结案金额764.06万元，终本案件已执行到位金额167.44万元，其他方式结案案件的结案金额64.28万元，未执结案件执行到位金额0元。</w:t>
      </w:r>
    </w:p>
    <w:p>
      <w:pPr>
        <w:ind w:firstLine="640" w:firstLineChars="200"/>
        <w:rPr>
          <w:rFonts w:asciiTheme="minorEastAsia" w:hAnsiTheme="minorEastAsia"/>
          <w:color w:val="FF0000"/>
          <w:sz w:val="32"/>
          <w:szCs w:val="32"/>
        </w:rPr>
      </w:pPr>
      <w:r>
        <w:rPr>
          <w:rFonts w:hint="eastAsia" w:asciiTheme="minorEastAsia" w:hAnsiTheme="minorEastAsia"/>
          <w:color w:val="FF0000"/>
          <w:sz w:val="32"/>
          <w:szCs w:val="32"/>
        </w:rPr>
        <w:t>首次执行案件结案平均用时47.09天，法定期限结案率 98.81% 。</w:t>
      </w:r>
    </w:p>
    <w:p>
      <w:pPr>
        <w:ind w:firstLine="640" w:firstLineChars="200"/>
        <w:rPr>
          <w:rFonts w:asciiTheme="minorEastAsia" w:hAnsiTheme="minorEastAsia"/>
          <w:color w:val="000000" w:themeColor="text1"/>
          <w:sz w:val="32"/>
          <w:szCs w:val="32"/>
        </w:rPr>
      </w:pPr>
    </w:p>
    <w:p>
      <w:pPr>
        <w:spacing w:line="480" w:lineRule="exact"/>
        <w:ind w:firstLine="790" w:firstLineChars="246"/>
        <w:rPr>
          <w:rFonts w:asciiTheme="minorEastAsia" w:hAnsiTheme="minorEastAsia"/>
          <w:b/>
          <w:color w:val="000000" w:themeColor="text1"/>
          <w:sz w:val="32"/>
          <w:szCs w:val="32"/>
        </w:rPr>
      </w:pPr>
      <w:bookmarkStart w:id="2" w:name="page27"/>
      <w:bookmarkEnd w:id="2"/>
      <w:r>
        <w:rPr>
          <w:rFonts w:hint="eastAsia" w:asciiTheme="minorEastAsia" w:hAnsiTheme="minorEastAsia"/>
          <w:b/>
          <w:color w:val="000000" w:themeColor="text1"/>
          <w:sz w:val="32"/>
          <w:szCs w:val="32"/>
        </w:rPr>
        <w:t>十、审判质效情况</w:t>
      </w:r>
    </w:p>
    <w:p>
      <w:pPr>
        <w:spacing w:line="480" w:lineRule="exact"/>
        <w:ind w:firstLine="790" w:firstLineChars="246"/>
        <w:rPr>
          <w:rFonts w:asciiTheme="minorEastAsia" w:hAnsiTheme="minorEastAsia"/>
          <w:b/>
          <w:color w:val="000000" w:themeColor="text1"/>
          <w:sz w:val="32"/>
          <w:szCs w:val="32"/>
        </w:rPr>
      </w:pPr>
    </w:p>
    <w:p>
      <w:pPr>
        <w:spacing w:line="480" w:lineRule="exact"/>
        <w:ind w:firstLine="630" w:firstLineChars="196"/>
        <w:rPr>
          <w:rFonts w:asciiTheme="minorEastAsia" w:hAnsiTheme="minorEastAsia"/>
          <w:b/>
          <w:color w:val="000000" w:themeColor="text1"/>
          <w:sz w:val="32"/>
          <w:szCs w:val="32"/>
        </w:rPr>
      </w:pPr>
      <w:r>
        <w:rPr>
          <w:rFonts w:hint="eastAsia" w:asciiTheme="minorEastAsia" w:hAnsiTheme="minorEastAsia"/>
          <w:b/>
          <w:color w:val="000000" w:themeColor="text1"/>
          <w:sz w:val="32"/>
          <w:szCs w:val="32"/>
        </w:rPr>
        <w:t>（一）旧存未结诉讼案件清理情况</w:t>
      </w:r>
    </w:p>
    <w:p>
      <w:pPr>
        <w:spacing w:line="480" w:lineRule="exact"/>
        <w:ind w:firstLine="320" w:firstLineChars="100"/>
        <w:rPr>
          <w:rFonts w:asciiTheme="minorEastAsia" w:hAnsiTheme="minorEastAsia"/>
          <w:color w:val="000000" w:themeColor="text1"/>
          <w:sz w:val="32"/>
          <w:szCs w:val="32"/>
        </w:rPr>
      </w:pPr>
    </w:p>
    <w:p>
      <w:pPr>
        <w:spacing w:line="480" w:lineRule="exact"/>
        <w:ind w:firstLine="800" w:firstLineChars="250"/>
        <w:rPr>
          <w:rFonts w:asciiTheme="minorEastAsia" w:hAnsiTheme="minorEastAsia"/>
          <w:color w:val="000000" w:themeColor="text1"/>
          <w:sz w:val="32"/>
          <w:szCs w:val="32"/>
        </w:rPr>
      </w:pPr>
      <w:r>
        <w:rPr>
          <w:rFonts w:hint="eastAsia" w:asciiTheme="minorEastAsia" w:hAnsiTheme="minorEastAsia"/>
          <w:color w:val="000000" w:themeColor="text1"/>
          <w:sz w:val="32"/>
          <w:szCs w:val="32"/>
        </w:rPr>
        <w:t>我院旧存案件为6件，已结5件，未结1件，审结率83.33%。</w:t>
      </w:r>
    </w:p>
    <w:p>
      <w:pPr>
        <w:spacing w:line="480" w:lineRule="exact"/>
        <w:rPr>
          <w:rFonts w:asciiTheme="minorEastAsia" w:hAnsiTheme="minorEastAsia"/>
          <w:color w:val="000000" w:themeColor="text1"/>
          <w:sz w:val="32"/>
          <w:szCs w:val="32"/>
        </w:rPr>
      </w:pPr>
    </w:p>
    <w:p>
      <w:pPr>
        <w:spacing w:line="480" w:lineRule="exact"/>
        <w:ind w:firstLine="630" w:firstLineChars="196"/>
        <w:rPr>
          <w:rFonts w:asciiTheme="minorEastAsia" w:hAnsiTheme="minorEastAsia"/>
          <w:b/>
          <w:color w:val="000000" w:themeColor="text1"/>
          <w:sz w:val="32"/>
          <w:szCs w:val="32"/>
        </w:rPr>
      </w:pPr>
      <w:r>
        <w:rPr>
          <w:rFonts w:asciiTheme="minorEastAsia" w:hAnsiTheme="minorEastAsia"/>
          <w:b/>
          <w:color w:val="000000" w:themeColor="text1"/>
          <w:sz w:val="32"/>
          <w:szCs w:val="32"/>
        </w:rPr>
        <w:t>（</w:t>
      </w:r>
      <w:r>
        <w:rPr>
          <w:rFonts w:hint="eastAsia" w:asciiTheme="minorEastAsia" w:hAnsiTheme="minorEastAsia"/>
          <w:b/>
          <w:color w:val="000000" w:themeColor="text1"/>
          <w:sz w:val="32"/>
          <w:szCs w:val="32"/>
        </w:rPr>
        <w:t>二</w:t>
      </w:r>
      <w:r>
        <w:rPr>
          <w:rFonts w:asciiTheme="minorEastAsia" w:hAnsiTheme="minorEastAsia"/>
          <w:b/>
          <w:color w:val="000000" w:themeColor="text1"/>
          <w:sz w:val="32"/>
          <w:szCs w:val="32"/>
        </w:rPr>
        <w:t>）</w:t>
      </w:r>
      <w:r>
        <w:rPr>
          <w:rFonts w:hint="eastAsia" w:asciiTheme="minorEastAsia" w:hAnsiTheme="minorEastAsia"/>
          <w:b/>
          <w:color w:val="000000" w:themeColor="text1"/>
          <w:sz w:val="32"/>
          <w:szCs w:val="32"/>
        </w:rPr>
        <w:t>案件发改情况</w:t>
      </w:r>
    </w:p>
    <w:p>
      <w:pPr>
        <w:spacing w:line="480" w:lineRule="exact"/>
        <w:rPr>
          <w:rFonts w:asciiTheme="minorEastAsia" w:hAnsiTheme="minorEastAsia"/>
          <w:color w:val="000000" w:themeColor="text1"/>
          <w:sz w:val="32"/>
          <w:szCs w:val="32"/>
        </w:rPr>
      </w:pPr>
      <w:r>
        <w:rPr>
          <w:rFonts w:hint="eastAsia" w:asciiTheme="minorEastAsia" w:hAnsiTheme="minorEastAsia"/>
          <w:color w:val="000000" w:themeColor="text1"/>
          <w:sz w:val="32"/>
          <w:szCs w:val="32"/>
        </w:rPr>
        <w:t xml:space="preserve">  </w:t>
      </w:r>
    </w:p>
    <w:p>
      <w:pPr>
        <w:spacing w:line="480" w:lineRule="exact"/>
        <w:ind w:firstLine="640" w:firstLineChars="200"/>
        <w:rPr>
          <w:rFonts w:asciiTheme="minorEastAsia" w:hAnsiTheme="minorEastAsia"/>
          <w:color w:val="000000" w:themeColor="text1"/>
          <w:sz w:val="32"/>
          <w:szCs w:val="32"/>
        </w:rPr>
      </w:pPr>
      <w:r>
        <w:rPr>
          <w:rFonts w:hint="eastAsia" w:asciiTheme="minorEastAsia" w:hAnsiTheme="minorEastAsia"/>
          <w:color w:val="000000" w:themeColor="text1"/>
          <w:sz w:val="32"/>
          <w:szCs w:val="32"/>
        </w:rPr>
        <w:t>我院三季度共审结诉讼案件447件，被二审改判9件、被发回重审3件，发改率为（上诉案件被改判+上诉案件被发回重审）/一审诉讼案件结案数=12/447=2.68%。</w:t>
      </w:r>
    </w:p>
    <w:p>
      <w:pPr>
        <w:spacing w:line="480" w:lineRule="exact"/>
        <w:ind w:firstLine="640" w:firstLineChars="200"/>
        <w:rPr>
          <w:rFonts w:asciiTheme="minorEastAsia" w:hAnsiTheme="minorEastAsia"/>
          <w:color w:val="000000" w:themeColor="text1"/>
          <w:sz w:val="32"/>
          <w:szCs w:val="32"/>
        </w:rPr>
      </w:pPr>
    </w:p>
    <w:p>
      <w:pPr>
        <w:spacing w:line="480" w:lineRule="exact"/>
        <w:ind w:firstLine="643" w:firstLineChars="200"/>
        <w:rPr>
          <w:rFonts w:asciiTheme="minorEastAsia" w:hAnsiTheme="minorEastAsia"/>
          <w:b/>
          <w:color w:val="000000" w:themeColor="text1"/>
          <w:sz w:val="32"/>
          <w:szCs w:val="32"/>
        </w:rPr>
      </w:pPr>
      <w:r>
        <w:rPr>
          <w:rFonts w:hint="eastAsia" w:asciiTheme="minorEastAsia" w:hAnsiTheme="minorEastAsia"/>
          <w:b/>
          <w:color w:val="000000" w:themeColor="text1"/>
          <w:sz w:val="32"/>
          <w:szCs w:val="32"/>
        </w:rPr>
        <w:t>（三）归档统计</w:t>
      </w:r>
    </w:p>
    <w:p>
      <w:pPr>
        <w:spacing w:line="480" w:lineRule="exact"/>
        <w:ind w:firstLine="643" w:firstLineChars="200"/>
        <w:rPr>
          <w:rFonts w:asciiTheme="minorEastAsia" w:hAnsiTheme="minorEastAsia"/>
          <w:b/>
          <w:color w:val="000000" w:themeColor="text1"/>
          <w:sz w:val="32"/>
          <w:szCs w:val="32"/>
        </w:rPr>
      </w:pPr>
    </w:p>
    <w:p>
      <w:pPr>
        <w:spacing w:line="480" w:lineRule="exact"/>
        <w:ind w:firstLine="640" w:firstLineChars="200"/>
        <w:rPr>
          <w:rFonts w:asciiTheme="minorEastAsia" w:hAnsiTheme="minorEastAsia"/>
          <w:color w:val="000000" w:themeColor="text1"/>
          <w:sz w:val="32"/>
          <w:szCs w:val="32"/>
        </w:rPr>
      </w:pPr>
      <w:r>
        <w:rPr>
          <w:rFonts w:hint="eastAsia" w:asciiTheme="minorEastAsia" w:hAnsiTheme="minorEastAsia"/>
          <w:color w:val="000000" w:themeColor="text1"/>
          <w:sz w:val="32"/>
          <w:szCs w:val="32"/>
        </w:rPr>
        <w:t>2021年1-9月，未归档54件，超一个月未归档5件，归档率为89.07%。因要求已结纸质卷宗与电子卷宗同步，在一个月内应将审结案件归档，卷宗归档仍然存在不及时的情况。</w:t>
      </w:r>
    </w:p>
    <w:p>
      <w:pPr>
        <w:spacing w:line="480" w:lineRule="exact"/>
        <w:ind w:firstLine="480" w:firstLineChars="150"/>
        <w:rPr>
          <w:rFonts w:asciiTheme="minorEastAsia" w:hAnsiTheme="minorEastAsia"/>
          <w:color w:val="000000" w:themeColor="text1"/>
          <w:sz w:val="32"/>
          <w:szCs w:val="32"/>
        </w:rPr>
      </w:pPr>
    </w:p>
    <w:p>
      <w:pPr>
        <w:spacing w:line="480" w:lineRule="exact"/>
        <w:ind w:firstLine="630" w:firstLineChars="196"/>
        <w:rPr>
          <w:rFonts w:asciiTheme="minorEastAsia" w:hAnsiTheme="minorEastAsia"/>
          <w:b/>
          <w:color w:val="000000" w:themeColor="text1"/>
          <w:sz w:val="32"/>
          <w:szCs w:val="32"/>
        </w:rPr>
      </w:pPr>
      <w:r>
        <w:rPr>
          <w:rFonts w:hint="eastAsia" w:asciiTheme="minorEastAsia" w:hAnsiTheme="minorEastAsia"/>
          <w:b/>
          <w:color w:val="000000" w:themeColor="text1"/>
          <w:sz w:val="32"/>
          <w:szCs w:val="32"/>
        </w:rPr>
        <w:t>（四）法官办案情况</w:t>
      </w:r>
    </w:p>
    <w:p>
      <w:pPr>
        <w:spacing w:line="480" w:lineRule="exact"/>
        <w:rPr>
          <w:rFonts w:asciiTheme="minorEastAsia" w:hAnsiTheme="minorEastAsia"/>
          <w:b/>
          <w:color w:val="000000" w:themeColor="text1"/>
          <w:sz w:val="32"/>
          <w:szCs w:val="32"/>
        </w:rPr>
      </w:pPr>
    </w:p>
    <w:p>
      <w:pPr>
        <w:spacing w:line="480" w:lineRule="exact"/>
        <w:ind w:firstLine="640" w:firstLineChars="200"/>
        <w:rPr>
          <w:rFonts w:asciiTheme="minorEastAsia" w:hAnsiTheme="minorEastAsia"/>
          <w:color w:val="000000" w:themeColor="text1"/>
          <w:sz w:val="32"/>
          <w:szCs w:val="32"/>
        </w:rPr>
      </w:pPr>
      <w:r>
        <w:rPr>
          <w:rFonts w:hint="eastAsia" w:asciiTheme="minorEastAsia" w:hAnsiTheme="minorEastAsia"/>
          <w:color w:val="000000" w:themeColor="text1"/>
          <w:sz w:val="32"/>
          <w:szCs w:val="32"/>
        </w:rPr>
        <w:t>我院共有员额法官11名，其中院领导5名，共审（执）结210件。林海军审结8件，张亚力审结18件，任彦林审结10件，王力勇审结69件，刘志敏审结105件。除5位院领导外，其他法官共审（执）结582件，台益奎审结42件，姜增民审结78件，鲁伟审结177件，付立刚审结108件，赵晓丽审结158件，陈琳清审结19件。人均审结诉讼案件（9人审结510件）56.67件，人均执结执行案件（2人282件）141件。</w:t>
      </w:r>
    </w:p>
    <w:p>
      <w:pPr>
        <w:spacing w:line="480" w:lineRule="exact"/>
        <w:ind w:firstLine="480" w:firstLineChars="150"/>
        <w:rPr>
          <w:rFonts w:asciiTheme="minorEastAsia" w:hAnsiTheme="minorEastAsia"/>
          <w:color w:val="000000" w:themeColor="text1"/>
          <w:sz w:val="32"/>
          <w:szCs w:val="32"/>
        </w:rPr>
      </w:pPr>
    </w:p>
    <w:p>
      <w:pPr>
        <w:spacing w:line="480" w:lineRule="exact"/>
        <w:ind w:firstLine="630" w:firstLineChars="196"/>
        <w:rPr>
          <w:rFonts w:asciiTheme="minorEastAsia" w:hAnsiTheme="minorEastAsia"/>
          <w:b/>
          <w:color w:val="000000" w:themeColor="text1"/>
          <w:sz w:val="32"/>
          <w:szCs w:val="32"/>
        </w:rPr>
      </w:pPr>
      <w:r>
        <w:rPr>
          <w:rFonts w:hint="eastAsia" w:asciiTheme="minorEastAsia" w:hAnsiTheme="minorEastAsia"/>
          <w:b/>
          <w:color w:val="000000" w:themeColor="text1"/>
          <w:sz w:val="32"/>
          <w:szCs w:val="32"/>
        </w:rPr>
        <w:t>（五）裁判文书上网情况</w:t>
      </w:r>
    </w:p>
    <w:p>
      <w:pPr>
        <w:spacing w:line="480" w:lineRule="exact"/>
        <w:rPr>
          <w:rFonts w:asciiTheme="minorEastAsia" w:hAnsiTheme="minorEastAsia"/>
          <w:b/>
          <w:color w:val="000000" w:themeColor="text1"/>
          <w:sz w:val="32"/>
          <w:szCs w:val="32"/>
        </w:rPr>
      </w:pPr>
    </w:p>
    <w:p>
      <w:pPr>
        <w:spacing w:line="520" w:lineRule="exact"/>
        <w:ind w:firstLine="660"/>
        <w:rPr>
          <w:rFonts w:asciiTheme="minorEastAsia" w:hAnsiTheme="minorEastAsia"/>
          <w:color w:val="000000" w:themeColor="text1"/>
          <w:sz w:val="32"/>
          <w:szCs w:val="32"/>
        </w:rPr>
      </w:pPr>
      <w:r>
        <w:rPr>
          <w:rFonts w:hint="eastAsia" w:ascii="宋体" w:hAnsi="宋体"/>
          <w:color w:val="000000" w:themeColor="text1"/>
          <w:sz w:val="32"/>
          <w:szCs w:val="32"/>
        </w:rPr>
        <w:t>根据最高法院和省法院通知要求，自2014年1月1日起，所有已生效且符合上网条件的裁判文书应当全部在互联网上公布公开，接受社会和公众的监督。2021年1月1日至2021年</w:t>
      </w:r>
      <w:r>
        <w:rPr>
          <w:rFonts w:hint="eastAsia" w:asciiTheme="minorEastAsia" w:hAnsiTheme="minorEastAsia"/>
          <w:color w:val="000000" w:themeColor="text1"/>
          <w:sz w:val="32"/>
          <w:szCs w:val="32"/>
        </w:rPr>
        <w:t>9月30日，共上传文书如下图。</w:t>
      </w:r>
    </w:p>
    <w:p>
      <w:pPr>
        <w:spacing w:line="520" w:lineRule="exact"/>
        <w:ind w:firstLine="660"/>
        <w:rPr>
          <w:rFonts w:ascii="宋体" w:hAnsi="宋体"/>
          <w:color w:val="000000" w:themeColor="text1"/>
          <w:sz w:val="32"/>
          <w:szCs w:val="32"/>
        </w:rPr>
      </w:pPr>
    </w:p>
    <w:p>
      <w:pPr>
        <w:jc w:val="center"/>
        <w:rPr>
          <w:rFonts w:ascii="宋体" w:hAnsi="宋体"/>
          <w:b/>
          <w:bCs/>
          <w:color w:val="000000" w:themeColor="text1"/>
          <w:sz w:val="32"/>
          <w:szCs w:val="32"/>
        </w:rPr>
      </w:pPr>
      <w:r>
        <w:rPr>
          <w:rFonts w:hint="eastAsia" w:ascii="宋体" w:hAnsi="宋体"/>
          <w:b/>
          <w:bCs/>
          <w:color w:val="000000" w:themeColor="text1"/>
          <w:sz w:val="32"/>
          <w:szCs w:val="32"/>
        </w:rPr>
        <w:t>2021年1-</w:t>
      </w:r>
      <w:r>
        <w:rPr>
          <w:rFonts w:hint="eastAsia" w:asciiTheme="minorEastAsia" w:hAnsiTheme="minorEastAsia"/>
          <w:b/>
          <w:bCs/>
          <w:color w:val="000000" w:themeColor="text1"/>
          <w:sz w:val="32"/>
          <w:szCs w:val="32"/>
        </w:rPr>
        <w:t>9</w:t>
      </w:r>
      <w:r>
        <w:rPr>
          <w:rFonts w:hint="eastAsia" w:ascii="宋体" w:hAnsi="宋体"/>
          <w:b/>
          <w:bCs/>
          <w:color w:val="000000" w:themeColor="text1"/>
          <w:sz w:val="32"/>
          <w:szCs w:val="32"/>
        </w:rPr>
        <w:t>裁判文书上网情况统计表</w:t>
      </w:r>
    </w:p>
    <w:p>
      <w:pPr>
        <w:jc w:val="center"/>
        <w:rPr>
          <w:rFonts w:ascii="宋体" w:hAnsi="宋体"/>
          <w:b/>
          <w:bCs/>
          <w:color w:val="000000" w:themeColor="text1"/>
          <w:sz w:val="32"/>
          <w:szCs w:val="32"/>
        </w:rPr>
      </w:pP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82"/>
        <w:gridCol w:w="1828"/>
        <w:gridCol w:w="1761"/>
        <w:gridCol w:w="1840"/>
        <w:gridCol w:w="22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1582" w:type="dxa"/>
            <w:tcBorders>
              <w:top w:val="single" w:color="auto" w:sz="4" w:space="0"/>
              <w:left w:val="single" w:color="auto" w:sz="4" w:space="0"/>
              <w:bottom w:val="single" w:color="auto" w:sz="4" w:space="0"/>
              <w:right w:val="single" w:color="auto" w:sz="4" w:space="0"/>
            </w:tcBorders>
          </w:tcPr>
          <w:p>
            <w:pPr>
              <w:jc w:val="center"/>
              <w:rPr>
                <w:rFonts w:ascii="宋体" w:hAnsi="宋体"/>
                <w:bCs/>
                <w:color w:val="000000" w:themeColor="text1"/>
                <w:sz w:val="32"/>
                <w:szCs w:val="32"/>
              </w:rPr>
            </w:pPr>
            <w:r>
              <w:rPr>
                <w:rFonts w:hint="eastAsia" w:ascii="宋体" w:hAnsi="宋体"/>
                <w:bCs/>
                <w:color w:val="000000" w:themeColor="text1"/>
                <w:sz w:val="32"/>
                <w:szCs w:val="32"/>
              </w:rPr>
              <w:t>法 院</w:t>
            </w:r>
          </w:p>
        </w:tc>
        <w:tc>
          <w:tcPr>
            <w:tcW w:w="1828" w:type="dxa"/>
            <w:tcBorders>
              <w:top w:val="single" w:color="auto" w:sz="4" w:space="0"/>
              <w:left w:val="single" w:color="auto" w:sz="4" w:space="0"/>
              <w:bottom w:val="single" w:color="auto" w:sz="4" w:space="0"/>
              <w:right w:val="single" w:color="auto" w:sz="4" w:space="0"/>
            </w:tcBorders>
          </w:tcPr>
          <w:p>
            <w:pPr>
              <w:jc w:val="center"/>
              <w:rPr>
                <w:rFonts w:ascii="宋体" w:hAnsi="宋体"/>
                <w:bCs/>
                <w:color w:val="000000" w:themeColor="text1"/>
                <w:sz w:val="32"/>
                <w:szCs w:val="32"/>
              </w:rPr>
            </w:pPr>
            <w:r>
              <w:rPr>
                <w:rFonts w:hint="eastAsia" w:ascii="宋体" w:hAnsi="宋体"/>
                <w:bCs/>
                <w:color w:val="000000" w:themeColor="text1"/>
                <w:sz w:val="32"/>
                <w:szCs w:val="32"/>
              </w:rPr>
              <w:t>公开文书数</w:t>
            </w:r>
          </w:p>
        </w:tc>
        <w:tc>
          <w:tcPr>
            <w:tcW w:w="1761" w:type="dxa"/>
            <w:tcBorders>
              <w:top w:val="single" w:color="auto" w:sz="4" w:space="0"/>
              <w:left w:val="single" w:color="auto" w:sz="4" w:space="0"/>
              <w:bottom w:val="single" w:color="auto" w:sz="4" w:space="0"/>
              <w:right w:val="single" w:color="auto" w:sz="4" w:space="0"/>
            </w:tcBorders>
          </w:tcPr>
          <w:p>
            <w:pPr>
              <w:jc w:val="center"/>
              <w:rPr>
                <w:rFonts w:ascii="宋体" w:hAnsi="宋体"/>
                <w:bCs/>
                <w:color w:val="000000" w:themeColor="text1"/>
                <w:sz w:val="32"/>
                <w:szCs w:val="32"/>
              </w:rPr>
            </w:pPr>
            <w:r>
              <w:rPr>
                <w:rFonts w:hint="eastAsia" w:ascii="宋体" w:hAnsi="宋体"/>
                <w:bCs/>
                <w:color w:val="000000" w:themeColor="text1"/>
                <w:sz w:val="32"/>
                <w:szCs w:val="32"/>
              </w:rPr>
              <w:t>结案数</w:t>
            </w:r>
          </w:p>
        </w:tc>
        <w:tc>
          <w:tcPr>
            <w:tcW w:w="1840" w:type="dxa"/>
            <w:tcBorders>
              <w:top w:val="single" w:color="auto" w:sz="4" w:space="0"/>
              <w:left w:val="single" w:color="auto" w:sz="4" w:space="0"/>
              <w:bottom w:val="single" w:color="auto" w:sz="4" w:space="0"/>
              <w:right w:val="single" w:color="auto" w:sz="4" w:space="0"/>
            </w:tcBorders>
          </w:tcPr>
          <w:p>
            <w:pPr>
              <w:jc w:val="center"/>
              <w:rPr>
                <w:rFonts w:ascii="宋体" w:hAnsi="宋体"/>
                <w:bCs/>
                <w:color w:val="000000" w:themeColor="text1"/>
                <w:sz w:val="32"/>
                <w:szCs w:val="32"/>
              </w:rPr>
            </w:pPr>
            <w:r>
              <w:rPr>
                <w:rFonts w:hint="eastAsia" w:ascii="宋体" w:hAnsi="宋体"/>
                <w:bCs/>
                <w:color w:val="000000" w:themeColor="text1"/>
                <w:sz w:val="32"/>
                <w:szCs w:val="32"/>
              </w:rPr>
              <w:t>公开信息数</w:t>
            </w:r>
          </w:p>
        </w:tc>
        <w:tc>
          <w:tcPr>
            <w:tcW w:w="2230" w:type="dxa"/>
            <w:tcBorders>
              <w:top w:val="single" w:color="auto" w:sz="4" w:space="0"/>
              <w:left w:val="single" w:color="auto" w:sz="4" w:space="0"/>
              <w:bottom w:val="single" w:color="auto" w:sz="4" w:space="0"/>
              <w:right w:val="single" w:color="auto" w:sz="4" w:space="0"/>
            </w:tcBorders>
          </w:tcPr>
          <w:p>
            <w:pPr>
              <w:jc w:val="center"/>
              <w:rPr>
                <w:rFonts w:ascii="宋体" w:hAnsi="宋体"/>
                <w:bCs/>
                <w:color w:val="000000" w:themeColor="text1"/>
                <w:sz w:val="32"/>
                <w:szCs w:val="32"/>
              </w:rPr>
            </w:pPr>
            <w:r>
              <w:rPr>
                <w:rFonts w:hint="eastAsia" w:ascii="宋体" w:hAnsi="宋体"/>
                <w:bCs/>
                <w:color w:val="000000" w:themeColor="text1"/>
                <w:sz w:val="32"/>
                <w:szCs w:val="32"/>
              </w:rPr>
              <w:t>上网率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jc w:val="center"/>
        </w:trPr>
        <w:tc>
          <w:tcPr>
            <w:tcW w:w="1582" w:type="dxa"/>
            <w:tcBorders>
              <w:top w:val="single" w:color="auto" w:sz="4" w:space="0"/>
              <w:left w:val="single" w:color="auto" w:sz="4" w:space="0"/>
              <w:bottom w:val="single" w:color="auto" w:sz="4" w:space="0"/>
              <w:right w:val="single" w:color="auto" w:sz="4" w:space="0"/>
            </w:tcBorders>
          </w:tcPr>
          <w:p>
            <w:pPr>
              <w:jc w:val="center"/>
              <w:rPr>
                <w:rFonts w:ascii="宋体" w:hAnsi="宋体"/>
                <w:bCs/>
                <w:color w:val="FF0000"/>
                <w:sz w:val="32"/>
                <w:szCs w:val="32"/>
              </w:rPr>
            </w:pPr>
            <w:r>
              <w:rPr>
                <w:rFonts w:hint="eastAsia" w:asciiTheme="minorEastAsia" w:hAnsiTheme="minorEastAsia"/>
                <w:bCs/>
                <w:color w:val="FF0000"/>
                <w:sz w:val="32"/>
                <w:szCs w:val="32"/>
              </w:rPr>
              <w:t>白河</w:t>
            </w:r>
          </w:p>
        </w:tc>
        <w:tc>
          <w:tcPr>
            <w:tcW w:w="1828" w:type="dxa"/>
            <w:tcBorders>
              <w:top w:val="single" w:color="auto" w:sz="4" w:space="0"/>
              <w:left w:val="single" w:color="auto" w:sz="4" w:space="0"/>
              <w:bottom w:val="single" w:color="auto" w:sz="4" w:space="0"/>
              <w:right w:val="single" w:color="auto" w:sz="4" w:space="0"/>
            </w:tcBorders>
          </w:tcPr>
          <w:p>
            <w:pPr>
              <w:jc w:val="center"/>
              <w:rPr>
                <w:rFonts w:ascii="宋体" w:hAnsi="宋体"/>
                <w:bCs/>
                <w:color w:val="FF0000"/>
                <w:sz w:val="32"/>
                <w:szCs w:val="32"/>
              </w:rPr>
            </w:pPr>
            <w:r>
              <w:rPr>
                <w:rFonts w:hint="eastAsia" w:asciiTheme="minorEastAsia" w:hAnsiTheme="minorEastAsia"/>
                <w:bCs/>
                <w:color w:val="FF0000"/>
                <w:sz w:val="32"/>
                <w:szCs w:val="32"/>
              </w:rPr>
              <w:t>541</w:t>
            </w:r>
          </w:p>
        </w:tc>
        <w:tc>
          <w:tcPr>
            <w:tcW w:w="1761" w:type="dxa"/>
            <w:tcBorders>
              <w:top w:val="single" w:color="auto" w:sz="4" w:space="0"/>
              <w:left w:val="single" w:color="auto" w:sz="4" w:space="0"/>
              <w:bottom w:val="single" w:color="auto" w:sz="4" w:space="0"/>
              <w:right w:val="single" w:color="auto" w:sz="4" w:space="0"/>
            </w:tcBorders>
          </w:tcPr>
          <w:p>
            <w:pPr>
              <w:jc w:val="center"/>
              <w:rPr>
                <w:rFonts w:ascii="宋体" w:hAnsi="宋体"/>
                <w:bCs/>
                <w:color w:val="FF0000"/>
                <w:sz w:val="32"/>
                <w:szCs w:val="32"/>
              </w:rPr>
            </w:pPr>
            <w:r>
              <w:rPr>
                <w:rFonts w:hint="eastAsia" w:ascii="宋体" w:hAnsi="宋体"/>
                <w:bCs/>
                <w:color w:val="FF0000"/>
                <w:sz w:val="32"/>
                <w:szCs w:val="32"/>
              </w:rPr>
              <w:t>783</w:t>
            </w:r>
          </w:p>
        </w:tc>
        <w:tc>
          <w:tcPr>
            <w:tcW w:w="1840" w:type="dxa"/>
            <w:tcBorders>
              <w:top w:val="single" w:color="auto" w:sz="4" w:space="0"/>
              <w:left w:val="single" w:color="auto" w:sz="4" w:space="0"/>
              <w:bottom w:val="single" w:color="auto" w:sz="4" w:space="0"/>
              <w:right w:val="single" w:color="auto" w:sz="4" w:space="0"/>
            </w:tcBorders>
          </w:tcPr>
          <w:p>
            <w:pPr>
              <w:jc w:val="center"/>
              <w:rPr>
                <w:rFonts w:ascii="宋体" w:hAnsi="宋体"/>
                <w:bCs/>
                <w:color w:val="FF0000"/>
                <w:sz w:val="32"/>
                <w:szCs w:val="32"/>
              </w:rPr>
            </w:pPr>
            <w:r>
              <w:rPr>
                <w:rFonts w:hint="eastAsia" w:ascii="宋体" w:hAnsi="宋体"/>
                <w:bCs/>
                <w:color w:val="FF0000"/>
                <w:sz w:val="32"/>
                <w:szCs w:val="32"/>
              </w:rPr>
              <w:t>166</w:t>
            </w:r>
          </w:p>
        </w:tc>
        <w:tc>
          <w:tcPr>
            <w:tcW w:w="2230" w:type="dxa"/>
            <w:tcBorders>
              <w:top w:val="single" w:color="auto" w:sz="4" w:space="0"/>
              <w:left w:val="single" w:color="auto" w:sz="4" w:space="0"/>
              <w:bottom w:val="single" w:color="auto" w:sz="4" w:space="0"/>
              <w:right w:val="single" w:color="auto" w:sz="4" w:space="0"/>
            </w:tcBorders>
          </w:tcPr>
          <w:p>
            <w:pPr>
              <w:jc w:val="center"/>
              <w:rPr>
                <w:rFonts w:ascii="宋体" w:hAnsi="宋体"/>
                <w:bCs/>
                <w:color w:val="FF0000"/>
                <w:sz w:val="32"/>
                <w:szCs w:val="32"/>
              </w:rPr>
            </w:pPr>
            <w:r>
              <w:rPr>
                <w:rFonts w:hint="eastAsia" w:asciiTheme="minorEastAsia" w:hAnsiTheme="minorEastAsia"/>
                <w:bCs/>
                <w:color w:val="FF0000"/>
                <w:sz w:val="32"/>
                <w:szCs w:val="32"/>
              </w:rPr>
              <w:t>90.29%</w:t>
            </w:r>
          </w:p>
        </w:tc>
      </w:tr>
    </w:tbl>
    <w:p>
      <w:pPr>
        <w:spacing w:line="480" w:lineRule="exact"/>
        <w:rPr>
          <w:rFonts w:asciiTheme="minorEastAsia" w:hAnsiTheme="minorEastAsia"/>
          <w:color w:val="000000" w:themeColor="text1"/>
          <w:sz w:val="32"/>
          <w:szCs w:val="32"/>
        </w:rPr>
      </w:pPr>
    </w:p>
    <w:p>
      <w:pPr>
        <w:spacing w:line="480" w:lineRule="exact"/>
        <w:rPr>
          <w:rFonts w:asciiTheme="minorEastAsia" w:hAnsiTheme="minorEastAsia"/>
          <w:color w:val="000000" w:themeColor="text1"/>
          <w:sz w:val="32"/>
          <w:szCs w:val="32"/>
        </w:rPr>
      </w:pPr>
    </w:p>
    <w:p>
      <w:pPr>
        <w:spacing w:line="520" w:lineRule="exact"/>
        <w:ind w:firstLine="157" w:firstLineChars="49"/>
        <w:rPr>
          <w:rFonts w:ascii="宋体" w:hAnsi="宋体"/>
          <w:b/>
          <w:bCs/>
          <w:color w:val="000000" w:themeColor="text1"/>
          <w:sz w:val="32"/>
          <w:szCs w:val="32"/>
        </w:rPr>
      </w:pPr>
      <w:r>
        <w:rPr>
          <w:rFonts w:hint="eastAsia" w:asciiTheme="minorEastAsia" w:hAnsiTheme="minorEastAsia"/>
          <w:b/>
          <w:bCs/>
          <w:color w:val="000000" w:themeColor="text1"/>
          <w:sz w:val="32"/>
          <w:szCs w:val="32"/>
        </w:rPr>
        <w:t>（六）电子法院应用情况</w:t>
      </w:r>
    </w:p>
    <w:p>
      <w:pPr>
        <w:jc w:val="center"/>
        <w:rPr>
          <w:rFonts w:ascii="宋体" w:hAnsi="宋体"/>
          <w:b/>
          <w:bCs/>
          <w:color w:val="000000" w:themeColor="text1"/>
          <w:sz w:val="32"/>
          <w:szCs w:val="32"/>
        </w:rPr>
      </w:pPr>
    </w:p>
    <w:tbl>
      <w:tblPr>
        <w:tblStyle w:val="6"/>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179"/>
        <w:gridCol w:w="1182"/>
        <w:gridCol w:w="1276"/>
        <w:gridCol w:w="1276"/>
        <w:gridCol w:w="1276"/>
        <w:gridCol w:w="992"/>
        <w:gridCol w:w="1276"/>
        <w:gridCol w:w="9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1" w:hRule="atLeast"/>
          <w:jc w:val="center"/>
        </w:trPr>
        <w:tc>
          <w:tcPr>
            <w:tcW w:w="1179" w:type="dxa"/>
            <w:vAlign w:val="center"/>
          </w:tcPr>
          <w:p>
            <w:pPr>
              <w:jc w:val="center"/>
              <w:rPr>
                <w:rFonts w:ascii="宋体" w:hAnsi="宋体"/>
                <w:color w:val="000000" w:themeColor="text1"/>
                <w:sz w:val="32"/>
                <w:szCs w:val="32"/>
              </w:rPr>
            </w:pPr>
            <w:r>
              <w:rPr>
                <w:rFonts w:hint="eastAsia" w:ascii="宋体" w:hAnsi="宋体"/>
                <w:color w:val="000000" w:themeColor="text1"/>
                <w:sz w:val="32"/>
                <w:szCs w:val="32"/>
              </w:rPr>
              <w:t>法 院</w:t>
            </w:r>
          </w:p>
        </w:tc>
        <w:tc>
          <w:tcPr>
            <w:tcW w:w="1182" w:type="dxa"/>
            <w:vAlign w:val="center"/>
          </w:tcPr>
          <w:p>
            <w:pPr>
              <w:jc w:val="center"/>
              <w:rPr>
                <w:rFonts w:ascii="宋体" w:hAnsi="宋体"/>
                <w:color w:val="000000" w:themeColor="text1"/>
                <w:sz w:val="32"/>
                <w:szCs w:val="32"/>
              </w:rPr>
            </w:pPr>
            <w:r>
              <w:rPr>
                <w:rFonts w:hint="eastAsia" w:ascii="宋体" w:hAnsi="宋体"/>
                <w:color w:val="000000" w:themeColor="text1"/>
                <w:sz w:val="32"/>
                <w:szCs w:val="32"/>
              </w:rPr>
              <w:t>网上立案</w:t>
            </w:r>
          </w:p>
        </w:tc>
        <w:tc>
          <w:tcPr>
            <w:tcW w:w="1276" w:type="dxa"/>
            <w:vAlign w:val="center"/>
          </w:tcPr>
          <w:p>
            <w:pPr>
              <w:jc w:val="center"/>
              <w:rPr>
                <w:rFonts w:ascii="宋体" w:hAnsi="宋体"/>
                <w:color w:val="000000" w:themeColor="text1"/>
                <w:sz w:val="32"/>
                <w:szCs w:val="32"/>
              </w:rPr>
            </w:pPr>
            <w:r>
              <w:rPr>
                <w:rFonts w:hint="eastAsia" w:ascii="宋体" w:hAnsi="宋体"/>
                <w:color w:val="000000" w:themeColor="text1"/>
                <w:sz w:val="32"/>
                <w:szCs w:val="32"/>
              </w:rPr>
              <w:t>网上缴费</w:t>
            </w:r>
          </w:p>
        </w:tc>
        <w:tc>
          <w:tcPr>
            <w:tcW w:w="1276" w:type="dxa"/>
            <w:vAlign w:val="center"/>
          </w:tcPr>
          <w:p>
            <w:pPr>
              <w:jc w:val="center"/>
              <w:rPr>
                <w:rFonts w:ascii="宋体" w:hAnsi="宋体"/>
                <w:color w:val="000000" w:themeColor="text1"/>
                <w:sz w:val="32"/>
                <w:szCs w:val="32"/>
              </w:rPr>
            </w:pPr>
            <w:r>
              <w:rPr>
                <w:rFonts w:hint="eastAsia" w:ascii="宋体" w:hAnsi="宋体"/>
                <w:color w:val="000000" w:themeColor="text1"/>
                <w:sz w:val="32"/>
                <w:szCs w:val="32"/>
              </w:rPr>
              <w:t>电子送达</w:t>
            </w:r>
          </w:p>
        </w:tc>
        <w:tc>
          <w:tcPr>
            <w:tcW w:w="1276" w:type="dxa"/>
            <w:vAlign w:val="center"/>
          </w:tcPr>
          <w:p>
            <w:pPr>
              <w:jc w:val="center"/>
              <w:rPr>
                <w:rFonts w:ascii="宋体" w:hAnsi="宋体"/>
                <w:color w:val="000000" w:themeColor="text1"/>
                <w:sz w:val="32"/>
                <w:szCs w:val="32"/>
              </w:rPr>
            </w:pPr>
            <w:r>
              <w:rPr>
                <w:rFonts w:hint="eastAsia" w:ascii="宋体" w:hAnsi="宋体"/>
                <w:color w:val="000000" w:themeColor="text1"/>
                <w:sz w:val="32"/>
                <w:szCs w:val="32"/>
              </w:rPr>
              <w:t>网上阅卷</w:t>
            </w:r>
          </w:p>
        </w:tc>
        <w:tc>
          <w:tcPr>
            <w:tcW w:w="992" w:type="dxa"/>
            <w:vAlign w:val="center"/>
          </w:tcPr>
          <w:p>
            <w:pPr>
              <w:jc w:val="center"/>
              <w:rPr>
                <w:rFonts w:ascii="宋体" w:hAnsi="宋体"/>
                <w:color w:val="000000" w:themeColor="text1"/>
                <w:sz w:val="32"/>
                <w:szCs w:val="32"/>
              </w:rPr>
            </w:pPr>
            <w:r>
              <w:rPr>
                <w:rFonts w:hint="eastAsia" w:ascii="宋体" w:hAnsi="宋体"/>
                <w:color w:val="000000" w:themeColor="text1"/>
                <w:sz w:val="32"/>
                <w:szCs w:val="32"/>
              </w:rPr>
              <w:t>云会议</w:t>
            </w:r>
          </w:p>
        </w:tc>
        <w:tc>
          <w:tcPr>
            <w:tcW w:w="1276" w:type="dxa"/>
            <w:vAlign w:val="center"/>
          </w:tcPr>
          <w:p>
            <w:pPr>
              <w:jc w:val="center"/>
              <w:rPr>
                <w:rFonts w:ascii="宋体" w:hAnsi="宋体"/>
                <w:color w:val="000000" w:themeColor="text1"/>
                <w:sz w:val="32"/>
                <w:szCs w:val="32"/>
              </w:rPr>
            </w:pPr>
            <w:r>
              <w:rPr>
                <w:rFonts w:hint="eastAsia" w:ascii="宋体" w:hAnsi="宋体"/>
                <w:color w:val="000000" w:themeColor="text1"/>
                <w:sz w:val="32"/>
                <w:szCs w:val="32"/>
              </w:rPr>
              <w:t>证据交换</w:t>
            </w:r>
          </w:p>
        </w:tc>
        <w:tc>
          <w:tcPr>
            <w:tcW w:w="992" w:type="dxa"/>
            <w:vAlign w:val="center"/>
          </w:tcPr>
          <w:p>
            <w:pPr>
              <w:jc w:val="center"/>
              <w:rPr>
                <w:rFonts w:ascii="宋体" w:hAnsi="宋体"/>
                <w:color w:val="000000" w:themeColor="text1"/>
                <w:sz w:val="32"/>
                <w:szCs w:val="32"/>
              </w:rPr>
            </w:pPr>
            <w:r>
              <w:rPr>
                <w:rFonts w:hint="eastAsia" w:ascii="宋体" w:hAnsi="宋体"/>
                <w:color w:val="000000" w:themeColor="text1"/>
                <w:sz w:val="32"/>
                <w:szCs w:val="32"/>
              </w:rPr>
              <w:t>审诉辩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8" w:hRule="atLeast"/>
          <w:jc w:val="center"/>
        </w:trPr>
        <w:tc>
          <w:tcPr>
            <w:tcW w:w="1179" w:type="dxa"/>
            <w:vAlign w:val="center"/>
          </w:tcPr>
          <w:p>
            <w:pPr>
              <w:jc w:val="center"/>
              <w:rPr>
                <w:rFonts w:ascii="宋体" w:hAnsi="宋体"/>
                <w:color w:val="000000" w:themeColor="text1"/>
                <w:sz w:val="32"/>
                <w:szCs w:val="32"/>
              </w:rPr>
            </w:pPr>
            <w:r>
              <w:rPr>
                <w:rFonts w:hint="eastAsia" w:asciiTheme="minorEastAsia" w:hAnsiTheme="minorEastAsia"/>
                <w:color w:val="000000" w:themeColor="text1"/>
                <w:sz w:val="32"/>
                <w:szCs w:val="32"/>
              </w:rPr>
              <w:t>白河</w:t>
            </w:r>
          </w:p>
        </w:tc>
        <w:tc>
          <w:tcPr>
            <w:tcW w:w="1182" w:type="dxa"/>
            <w:vAlign w:val="center"/>
          </w:tcPr>
          <w:p>
            <w:pPr>
              <w:jc w:val="center"/>
              <w:rPr>
                <w:rFonts w:ascii="宋体" w:hAnsi="宋体"/>
                <w:color w:val="000000" w:themeColor="text1"/>
                <w:sz w:val="32"/>
                <w:szCs w:val="32"/>
              </w:rPr>
            </w:pPr>
            <w:r>
              <w:rPr>
                <w:rFonts w:hint="eastAsia" w:ascii="宋体" w:hAnsi="宋体"/>
                <w:color w:val="000000" w:themeColor="text1"/>
                <w:sz w:val="32"/>
                <w:szCs w:val="32"/>
              </w:rPr>
              <w:t>124</w:t>
            </w:r>
          </w:p>
        </w:tc>
        <w:tc>
          <w:tcPr>
            <w:tcW w:w="1276" w:type="dxa"/>
            <w:vAlign w:val="center"/>
          </w:tcPr>
          <w:p>
            <w:pPr>
              <w:jc w:val="center"/>
              <w:rPr>
                <w:rFonts w:ascii="宋体" w:hAnsi="宋体"/>
                <w:color w:val="000000" w:themeColor="text1"/>
                <w:sz w:val="32"/>
                <w:szCs w:val="32"/>
              </w:rPr>
            </w:pPr>
            <w:r>
              <w:rPr>
                <w:rFonts w:hint="eastAsia" w:ascii="宋体" w:hAnsi="宋体"/>
                <w:color w:val="000000" w:themeColor="text1"/>
                <w:sz w:val="32"/>
                <w:szCs w:val="32"/>
              </w:rPr>
              <w:t>383</w:t>
            </w:r>
          </w:p>
        </w:tc>
        <w:tc>
          <w:tcPr>
            <w:tcW w:w="1276" w:type="dxa"/>
            <w:vAlign w:val="center"/>
          </w:tcPr>
          <w:p>
            <w:pPr>
              <w:jc w:val="center"/>
              <w:rPr>
                <w:rFonts w:ascii="宋体" w:hAnsi="宋体"/>
                <w:color w:val="000000" w:themeColor="text1"/>
                <w:sz w:val="32"/>
                <w:szCs w:val="32"/>
              </w:rPr>
            </w:pPr>
            <w:r>
              <w:rPr>
                <w:rFonts w:hint="eastAsia" w:ascii="宋体" w:hAnsi="宋体"/>
                <w:color w:val="000000" w:themeColor="text1"/>
                <w:sz w:val="32"/>
                <w:szCs w:val="32"/>
              </w:rPr>
              <w:t>367</w:t>
            </w:r>
          </w:p>
        </w:tc>
        <w:tc>
          <w:tcPr>
            <w:tcW w:w="1276" w:type="dxa"/>
            <w:vAlign w:val="center"/>
          </w:tcPr>
          <w:p>
            <w:pPr>
              <w:jc w:val="center"/>
              <w:rPr>
                <w:rFonts w:ascii="宋体" w:hAnsi="宋体"/>
                <w:color w:val="000000" w:themeColor="text1"/>
                <w:sz w:val="32"/>
                <w:szCs w:val="32"/>
              </w:rPr>
            </w:pPr>
            <w:r>
              <w:rPr>
                <w:rFonts w:hint="eastAsia" w:ascii="宋体" w:hAnsi="宋体"/>
                <w:color w:val="000000" w:themeColor="text1"/>
                <w:sz w:val="32"/>
                <w:szCs w:val="32"/>
              </w:rPr>
              <w:t>506</w:t>
            </w:r>
          </w:p>
        </w:tc>
        <w:tc>
          <w:tcPr>
            <w:tcW w:w="992" w:type="dxa"/>
            <w:vAlign w:val="center"/>
          </w:tcPr>
          <w:p>
            <w:pPr>
              <w:jc w:val="center"/>
              <w:rPr>
                <w:rFonts w:ascii="宋体" w:hAnsi="宋体"/>
                <w:color w:val="000000" w:themeColor="text1"/>
                <w:sz w:val="32"/>
                <w:szCs w:val="32"/>
              </w:rPr>
            </w:pPr>
            <w:r>
              <w:rPr>
                <w:rFonts w:hint="eastAsia" w:ascii="宋体" w:hAnsi="宋体"/>
                <w:color w:val="000000" w:themeColor="text1"/>
                <w:sz w:val="32"/>
                <w:szCs w:val="32"/>
              </w:rPr>
              <w:t>0</w:t>
            </w:r>
          </w:p>
        </w:tc>
        <w:tc>
          <w:tcPr>
            <w:tcW w:w="1276" w:type="dxa"/>
            <w:vAlign w:val="center"/>
          </w:tcPr>
          <w:p>
            <w:pPr>
              <w:jc w:val="center"/>
              <w:rPr>
                <w:rFonts w:ascii="宋体" w:hAnsi="宋体"/>
                <w:color w:val="000000" w:themeColor="text1"/>
                <w:sz w:val="32"/>
                <w:szCs w:val="32"/>
              </w:rPr>
            </w:pPr>
            <w:r>
              <w:rPr>
                <w:rFonts w:hint="eastAsia" w:ascii="宋体" w:hAnsi="宋体"/>
                <w:color w:val="000000" w:themeColor="text1"/>
                <w:sz w:val="32"/>
                <w:szCs w:val="32"/>
              </w:rPr>
              <w:t>7</w:t>
            </w:r>
          </w:p>
        </w:tc>
        <w:tc>
          <w:tcPr>
            <w:tcW w:w="992" w:type="dxa"/>
            <w:vAlign w:val="center"/>
          </w:tcPr>
          <w:p>
            <w:pPr>
              <w:jc w:val="center"/>
              <w:rPr>
                <w:rFonts w:ascii="宋体" w:hAnsi="宋体"/>
                <w:color w:val="000000" w:themeColor="text1"/>
                <w:sz w:val="32"/>
                <w:szCs w:val="32"/>
              </w:rPr>
            </w:pPr>
            <w:r>
              <w:rPr>
                <w:rFonts w:hint="eastAsia" w:ascii="宋体" w:hAnsi="宋体"/>
                <w:color w:val="000000" w:themeColor="text1"/>
                <w:sz w:val="32"/>
                <w:szCs w:val="32"/>
              </w:rPr>
              <w:t>276</w:t>
            </w:r>
          </w:p>
        </w:tc>
      </w:tr>
    </w:tbl>
    <w:p>
      <w:pPr>
        <w:rPr>
          <w:rFonts w:ascii="宋体" w:hAnsi="宋体" w:cstheme="minorBidi"/>
          <w:color w:val="FF0000"/>
          <w:sz w:val="32"/>
          <w:szCs w:val="32"/>
        </w:rPr>
      </w:pPr>
    </w:p>
    <w:p>
      <w:pPr>
        <w:ind w:firstLine="630" w:firstLineChars="196"/>
        <w:rPr>
          <w:rFonts w:hint="eastAsia" w:ascii="宋体" w:hAnsi="宋体" w:cstheme="minorBidi"/>
          <w:b/>
          <w:color w:val="000000" w:themeColor="text1"/>
          <w:sz w:val="32"/>
          <w:szCs w:val="32"/>
        </w:rPr>
      </w:pPr>
      <w:r>
        <w:rPr>
          <w:rFonts w:hint="eastAsia" w:ascii="宋体" w:hAnsi="宋体" w:cstheme="minorBidi"/>
          <w:b/>
          <w:color w:val="000000" w:themeColor="text1"/>
          <w:sz w:val="32"/>
          <w:szCs w:val="32"/>
        </w:rPr>
        <w:t>十一、成绩与问题分析</w:t>
      </w:r>
    </w:p>
    <w:p>
      <w:pPr>
        <w:ind w:firstLine="630" w:firstLineChars="196"/>
        <w:rPr>
          <w:rFonts w:ascii="宋体" w:hAnsi="宋体" w:cstheme="minorBidi"/>
          <w:b/>
          <w:color w:val="000000" w:themeColor="text1"/>
          <w:sz w:val="32"/>
          <w:szCs w:val="32"/>
        </w:rPr>
      </w:pPr>
    </w:p>
    <w:p>
      <w:pPr>
        <w:ind w:firstLine="627" w:firstLineChars="196"/>
        <w:rPr>
          <w:rFonts w:ascii="宋体" w:hAnsi="宋体" w:cstheme="minorBidi"/>
          <w:color w:val="000000" w:themeColor="text1"/>
          <w:sz w:val="32"/>
          <w:szCs w:val="32"/>
        </w:rPr>
      </w:pPr>
      <w:r>
        <w:rPr>
          <w:rFonts w:hint="eastAsia" w:ascii="宋体" w:hAnsi="宋体" w:cstheme="minorBidi"/>
          <w:color w:val="000000" w:themeColor="text1"/>
          <w:sz w:val="32"/>
          <w:szCs w:val="32"/>
        </w:rPr>
        <w:t>（一）新收案件数量、结案数量均同比持平，位居全州林区法院前列。</w:t>
      </w:r>
    </w:p>
    <w:p>
      <w:pPr>
        <w:ind w:firstLine="800" w:firstLineChars="250"/>
        <w:rPr>
          <w:rFonts w:ascii="宋体" w:hAnsi="宋体" w:cstheme="minorBidi"/>
          <w:color w:val="000000" w:themeColor="text1"/>
          <w:sz w:val="32"/>
          <w:szCs w:val="32"/>
        </w:rPr>
      </w:pPr>
      <w:r>
        <w:rPr>
          <w:rFonts w:hint="eastAsia" w:ascii="宋体" w:hAnsi="宋体" w:cstheme="minorBidi"/>
          <w:color w:val="000000" w:themeColor="text1"/>
          <w:sz w:val="32"/>
          <w:szCs w:val="32"/>
        </w:rPr>
        <w:t>(二) 人均审结诉讼案件、执结执行案件数量均位于全州林区法院前列。</w:t>
      </w:r>
    </w:p>
    <w:p>
      <w:pPr>
        <w:ind w:firstLine="640" w:firstLineChars="200"/>
        <w:rPr>
          <w:rFonts w:ascii="宋体" w:hAnsi="宋体" w:cstheme="minorBidi"/>
          <w:color w:val="000000" w:themeColor="text1"/>
          <w:sz w:val="32"/>
          <w:szCs w:val="32"/>
        </w:rPr>
      </w:pPr>
      <w:r>
        <w:rPr>
          <w:rFonts w:hint="eastAsia" w:ascii="宋体" w:hAnsi="宋体" w:cstheme="minorBidi"/>
          <w:color w:val="000000" w:themeColor="text1"/>
          <w:sz w:val="32"/>
          <w:szCs w:val="32"/>
        </w:rPr>
        <w:t>（三）</w:t>
      </w:r>
      <w:r>
        <w:rPr>
          <w:rFonts w:ascii="宋体" w:hAnsi="宋体" w:cstheme="minorBidi"/>
          <w:color w:val="000000" w:themeColor="text1"/>
          <w:sz w:val="32"/>
          <w:szCs w:val="32"/>
        </w:rPr>
        <w:t>二审发回重审率、改判</w:t>
      </w:r>
      <w:r>
        <w:rPr>
          <w:rFonts w:hint="eastAsia" w:ascii="宋体" w:hAnsi="宋体" w:cstheme="minorBidi"/>
          <w:color w:val="000000" w:themeColor="text1"/>
          <w:sz w:val="32"/>
          <w:szCs w:val="32"/>
        </w:rPr>
        <w:t>案件共计12件，同比基本持平，但上诉率、发改率仍然过高。</w:t>
      </w:r>
    </w:p>
    <w:p>
      <w:pPr>
        <w:ind w:firstLine="640" w:firstLineChars="200"/>
        <w:rPr>
          <w:rFonts w:ascii="宋体" w:hAnsi="宋体" w:cstheme="minorBidi"/>
          <w:color w:val="000000" w:themeColor="text1"/>
          <w:sz w:val="32"/>
          <w:szCs w:val="32"/>
        </w:rPr>
      </w:pPr>
      <w:r>
        <w:rPr>
          <w:rFonts w:hint="eastAsia" w:ascii="宋体" w:hAnsi="宋体" w:cstheme="minorBidi"/>
          <w:color w:val="000000" w:themeColor="text1"/>
          <w:sz w:val="32"/>
          <w:szCs w:val="32"/>
        </w:rPr>
        <w:t>（四）案件结收比存在不均衡的问题，1月、5月收结案较多，案件新收与审结不均衡的情况仍有存在。</w:t>
      </w:r>
    </w:p>
    <w:p>
      <w:pPr>
        <w:ind w:firstLine="640" w:firstLineChars="200"/>
        <w:rPr>
          <w:rFonts w:ascii="宋体" w:hAnsi="宋体" w:cstheme="minorBidi"/>
          <w:color w:val="000000" w:themeColor="text1"/>
          <w:sz w:val="32"/>
          <w:szCs w:val="32"/>
        </w:rPr>
      </w:pPr>
      <w:r>
        <w:rPr>
          <w:rFonts w:hint="eastAsia" w:ascii="宋体" w:hAnsi="宋体" w:cs="宋体"/>
          <w:color w:val="000000" w:themeColor="text1"/>
          <w:sz w:val="32"/>
          <w:szCs w:val="32"/>
        </w:rPr>
        <w:t>（五）</w:t>
      </w:r>
      <w:r>
        <w:rPr>
          <w:rFonts w:hint="eastAsia" w:ascii="宋体" w:hAnsi="宋体" w:cstheme="minorBidi"/>
          <w:color w:val="000000" w:themeColor="text1"/>
          <w:sz w:val="32"/>
          <w:szCs w:val="32"/>
        </w:rPr>
        <w:t>执行工作总体运行良好，但执行质量和效率有待提高，实际执行率、执行到位率仍有待进一步提高，执行工作相关措施和机制需要进一步革新和完善。</w:t>
      </w:r>
    </w:p>
    <w:p>
      <w:pPr>
        <w:ind w:firstLine="640" w:firstLineChars="200"/>
        <w:rPr>
          <w:rFonts w:ascii="宋体" w:hAnsi="宋体" w:cstheme="minorBidi"/>
          <w:color w:val="000000" w:themeColor="text1"/>
          <w:sz w:val="32"/>
          <w:szCs w:val="32"/>
        </w:rPr>
      </w:pPr>
      <w:r>
        <w:rPr>
          <w:rFonts w:hint="eastAsia" w:ascii="宋体" w:hAnsi="宋体" w:cstheme="minorBidi"/>
          <w:color w:val="000000" w:themeColor="text1"/>
          <w:sz w:val="32"/>
          <w:szCs w:val="32"/>
        </w:rPr>
        <w:t>（六）电子法院运用方面网上立案与送达率达标，但其他网上操作需进一步扩展功能。电子档案同步生成工作质量和效率仍有提升空间。</w:t>
      </w:r>
    </w:p>
    <w:p>
      <w:pPr>
        <w:ind w:firstLine="640" w:firstLineChars="200"/>
        <w:rPr>
          <w:rFonts w:hint="eastAsia" w:ascii="宋体" w:hAnsi="宋体" w:cstheme="minorBidi"/>
          <w:color w:val="000000" w:themeColor="text1"/>
          <w:sz w:val="32"/>
          <w:szCs w:val="32"/>
        </w:rPr>
      </w:pPr>
      <w:r>
        <w:rPr>
          <w:rFonts w:hint="eastAsia" w:ascii="宋体" w:hAnsi="宋体" w:cstheme="minorBidi"/>
          <w:color w:val="000000" w:themeColor="text1"/>
          <w:sz w:val="32"/>
          <w:szCs w:val="32"/>
        </w:rPr>
        <w:t>（七）卷宗归档仍然存在不及时现象，有的案件没有在一个月内将纸质卷宗与电子卷宗同步，仍要加强和提高督促力度与归档的自觉性。</w:t>
      </w:r>
    </w:p>
    <w:p>
      <w:pPr>
        <w:ind w:firstLine="640" w:firstLineChars="200"/>
        <w:rPr>
          <w:rFonts w:ascii="宋体" w:hAnsi="宋体" w:cstheme="minorBidi"/>
          <w:color w:val="000000" w:themeColor="text1"/>
          <w:sz w:val="32"/>
          <w:szCs w:val="32"/>
        </w:rPr>
      </w:pPr>
    </w:p>
    <w:p>
      <w:pPr>
        <w:ind w:firstLine="482" w:firstLineChars="150"/>
        <w:rPr>
          <w:rFonts w:ascii="宋体" w:hAnsi="宋体" w:cstheme="minorBidi"/>
          <w:b/>
          <w:color w:val="000000" w:themeColor="text1"/>
          <w:sz w:val="32"/>
          <w:szCs w:val="32"/>
        </w:rPr>
      </w:pPr>
      <w:r>
        <w:rPr>
          <w:rFonts w:hint="eastAsia" w:ascii="宋体" w:hAnsi="宋体" w:cstheme="minorBidi"/>
          <w:b/>
          <w:color w:val="000000" w:themeColor="text1"/>
          <w:sz w:val="32"/>
          <w:szCs w:val="32"/>
        </w:rPr>
        <w:t>十二、工作建议</w:t>
      </w:r>
    </w:p>
    <w:p>
      <w:pPr>
        <w:ind w:firstLine="630" w:firstLineChars="196"/>
        <w:rPr>
          <w:rFonts w:ascii="宋体" w:hAnsi="宋体" w:cstheme="minorBidi"/>
          <w:b/>
          <w:color w:val="000000" w:themeColor="text1"/>
          <w:sz w:val="32"/>
          <w:szCs w:val="32"/>
        </w:rPr>
      </w:pPr>
    </w:p>
    <w:p>
      <w:pPr>
        <w:ind w:firstLine="630" w:firstLineChars="196"/>
        <w:rPr>
          <w:rFonts w:ascii="宋体" w:hAnsi="宋体" w:cstheme="minorBidi"/>
          <w:color w:val="000000" w:themeColor="text1"/>
          <w:sz w:val="32"/>
          <w:szCs w:val="32"/>
        </w:rPr>
      </w:pPr>
      <w:r>
        <w:rPr>
          <w:rFonts w:hint="eastAsia" w:ascii="宋体" w:hAnsi="宋体" w:cstheme="minorBidi"/>
          <w:b/>
          <w:color w:val="000000" w:themeColor="text1"/>
          <w:sz w:val="32"/>
          <w:szCs w:val="32"/>
        </w:rPr>
        <w:t>（一）采取有效措施，狠抓案件质量提升。</w:t>
      </w:r>
      <w:r>
        <w:rPr>
          <w:rFonts w:hint="eastAsia" w:ascii="宋体" w:hAnsi="宋体" w:cstheme="minorBidi"/>
          <w:color w:val="000000" w:themeColor="text1"/>
          <w:sz w:val="32"/>
          <w:szCs w:val="32"/>
        </w:rPr>
        <w:t>一是落实司法责任制，加大主审法官办案权责的落实，充分发挥其主观能动性。二是发挥院庭长的审判监督管理职责，细化院庭长审判管理权责清单依照规定的权限对“四类”案件进行个案监督，进行业务指导。三是强化案件评查，坚持案件常规随机评查、重点评查、专项评查相结合，重点评查发回重审、改判案件、信访案件以及长期未结、久押不决督办范围的案件。四是审判管理部门要加大力度，定期或不定期对相关审判管理指标进行通报，发挥好督导、管理的职能。</w:t>
      </w:r>
    </w:p>
    <w:p>
      <w:pPr>
        <w:ind w:firstLine="630" w:firstLineChars="196"/>
        <w:rPr>
          <w:rFonts w:ascii="宋体" w:hAnsi="宋体" w:cstheme="minorBidi"/>
          <w:b/>
          <w:bCs/>
          <w:color w:val="000000" w:themeColor="text1"/>
          <w:sz w:val="32"/>
          <w:szCs w:val="32"/>
        </w:rPr>
      </w:pPr>
      <w:r>
        <w:rPr>
          <w:rFonts w:hint="eastAsia" w:ascii="宋体" w:hAnsi="宋体" w:cstheme="minorBidi"/>
          <w:b/>
          <w:bCs/>
          <w:color w:val="000000" w:themeColor="text1"/>
          <w:sz w:val="32"/>
          <w:szCs w:val="32"/>
        </w:rPr>
        <w:t>（二）提高办案效率，注重法定审限内结案。</w:t>
      </w:r>
      <w:r>
        <w:rPr>
          <w:rFonts w:hint="eastAsia" w:ascii="宋体" w:hAnsi="宋体" w:cstheme="minorBidi"/>
          <w:color w:val="000000" w:themeColor="text1"/>
          <w:sz w:val="32"/>
          <w:szCs w:val="32"/>
        </w:rPr>
        <w:t>应加快案件审结进度，力争法定审限内结案。要抓好长期未结案件清理工作，加大清理旧存案件力度，尽最大可能减少旧存案件数量，全力推动结案率整体提升。要保持均衡结案，主审法官应结合办结案件数量及案件具体情况，有意识地调整办案节奏，避免忙闲不均，年初不着急、年末搞突击等问题；对于重大、疑难、复杂案件，应继续加大审判力度，严把审限变更关，确保法定审限内结案率不断提升。</w:t>
      </w:r>
    </w:p>
    <w:p>
      <w:pPr>
        <w:ind w:firstLine="643" w:firstLineChars="200"/>
        <w:rPr>
          <w:rFonts w:ascii="宋体" w:hAnsi="宋体" w:cstheme="minorBidi"/>
          <w:b/>
          <w:bCs/>
          <w:color w:val="000000" w:themeColor="text1"/>
          <w:sz w:val="32"/>
          <w:szCs w:val="32"/>
        </w:rPr>
      </w:pPr>
      <w:r>
        <w:rPr>
          <w:rFonts w:hint="eastAsia" w:ascii="宋体" w:hAnsi="宋体" w:cstheme="minorBidi"/>
          <w:b/>
          <w:bCs/>
          <w:color w:val="000000" w:themeColor="text1"/>
          <w:sz w:val="32"/>
          <w:szCs w:val="32"/>
        </w:rPr>
        <w:t>（三）加大调撤力度，控制上诉案件数量。</w:t>
      </w:r>
      <w:r>
        <w:rPr>
          <w:rFonts w:hint="eastAsia" w:ascii="宋体" w:hAnsi="宋体" w:cstheme="minorBidi"/>
          <w:color w:val="000000" w:themeColor="text1"/>
          <w:sz w:val="32"/>
          <w:szCs w:val="32"/>
        </w:rPr>
        <w:t>调撤案件数量增加，上诉数量即亦会得到有效控制，服判息诉率会相应提升。因此，从立案、送达、开庭等环节积极开展调解工作，要注重发挥多元化纠纷解决机制的作用，引导当事人选择适当的纠纷解决方式，优化法院内外资源配置，实现诉调对接，彻底化解矛盾。对不能调解结案的案件，要在裁判前做好当事人的引导工作，在裁判后做好当事人的答疑释法工作。</w:t>
      </w:r>
    </w:p>
    <w:p>
      <w:pPr>
        <w:rPr>
          <w:rFonts w:ascii="仿宋" w:hAnsi="仿宋" w:eastAsia="仿宋"/>
          <w:b/>
          <w:sz w:val="28"/>
          <w:szCs w:val="28"/>
        </w:rPr>
      </w:pPr>
    </w:p>
    <w:p>
      <w:pPr>
        <w:rPr>
          <w:rFonts w:ascii="仿宋" w:hAnsi="仿宋" w:eastAsia="仿宋"/>
          <w:b/>
          <w:sz w:val="28"/>
          <w:szCs w:val="28"/>
        </w:rPr>
      </w:pPr>
    </w:p>
    <w:p>
      <w:pPr>
        <w:rPr>
          <w:rFonts w:ascii="仿宋" w:hAnsi="仿宋" w:eastAsia="仿宋"/>
          <w:b/>
          <w:sz w:val="28"/>
          <w:szCs w:val="28"/>
        </w:rPr>
      </w:pPr>
    </w:p>
    <w:p>
      <w:pPr>
        <w:rPr>
          <w:rFonts w:ascii="仿宋" w:hAnsi="仿宋" w:eastAsia="仿宋"/>
          <w:color w:val="000000" w:themeColor="text1"/>
          <w:sz w:val="30"/>
          <w:szCs w:val="30"/>
          <w:u w:val="thick"/>
        </w:rPr>
      </w:pPr>
      <w:bookmarkStart w:id="3" w:name="_GoBack"/>
      <w:bookmarkEnd w:id="3"/>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行楷">
    <w:panose1 w:val="02010800040101010101"/>
    <w:charset w:val="86"/>
    <w:family w:val="auto"/>
    <w:pitch w:val="default"/>
    <w:sig w:usb0="00000001" w:usb1="080F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892473"/>
      <w:docPartObj>
        <w:docPartGallery w:val="AutoText"/>
      </w:docPartObj>
    </w:sdtPr>
    <w:sdtContent>
      <w:p>
        <w:pPr>
          <w:pStyle w:val="3"/>
          <w:jc w:val="center"/>
        </w:pPr>
        <w:r>
          <w:fldChar w:fldCharType="begin"/>
        </w:r>
        <w:r>
          <w:instrText xml:space="preserve"> PAGE   \* MERGEFORMAT </w:instrText>
        </w:r>
        <w:r>
          <w:fldChar w:fldCharType="separate"/>
        </w:r>
        <w:r>
          <w:rPr>
            <w:lang w:val="zh-CN"/>
          </w:rPr>
          <w:t>9</w:t>
        </w:r>
        <w:r>
          <w:rPr>
            <w:lang w:val="zh-CN"/>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2033D"/>
    <w:rsid w:val="0000076B"/>
    <w:rsid w:val="000034B1"/>
    <w:rsid w:val="000035A6"/>
    <w:rsid w:val="00004FD8"/>
    <w:rsid w:val="0001174C"/>
    <w:rsid w:val="000128DE"/>
    <w:rsid w:val="00012D16"/>
    <w:rsid w:val="00012DDC"/>
    <w:rsid w:val="00015037"/>
    <w:rsid w:val="00016837"/>
    <w:rsid w:val="00016C69"/>
    <w:rsid w:val="00017257"/>
    <w:rsid w:val="00030DEA"/>
    <w:rsid w:val="00032A9C"/>
    <w:rsid w:val="00041F50"/>
    <w:rsid w:val="00047D3F"/>
    <w:rsid w:val="0005135E"/>
    <w:rsid w:val="000533BF"/>
    <w:rsid w:val="000572EF"/>
    <w:rsid w:val="00062A3E"/>
    <w:rsid w:val="0006396A"/>
    <w:rsid w:val="00063A39"/>
    <w:rsid w:val="00065988"/>
    <w:rsid w:val="000674D4"/>
    <w:rsid w:val="00067B0C"/>
    <w:rsid w:val="0007296E"/>
    <w:rsid w:val="00075C8A"/>
    <w:rsid w:val="00077E55"/>
    <w:rsid w:val="00082B4C"/>
    <w:rsid w:val="00082E1A"/>
    <w:rsid w:val="0008537F"/>
    <w:rsid w:val="0008696F"/>
    <w:rsid w:val="00087324"/>
    <w:rsid w:val="00090762"/>
    <w:rsid w:val="00094B5F"/>
    <w:rsid w:val="00096964"/>
    <w:rsid w:val="000A29B2"/>
    <w:rsid w:val="000A67BF"/>
    <w:rsid w:val="000B0422"/>
    <w:rsid w:val="000B112F"/>
    <w:rsid w:val="000B31CB"/>
    <w:rsid w:val="000B4361"/>
    <w:rsid w:val="000B4B8D"/>
    <w:rsid w:val="000B7C6B"/>
    <w:rsid w:val="000D674C"/>
    <w:rsid w:val="000E41AF"/>
    <w:rsid w:val="000E4D33"/>
    <w:rsid w:val="000E5132"/>
    <w:rsid w:val="000E59FE"/>
    <w:rsid w:val="000E7E61"/>
    <w:rsid w:val="000F58A1"/>
    <w:rsid w:val="000F7788"/>
    <w:rsid w:val="00104169"/>
    <w:rsid w:val="00105F78"/>
    <w:rsid w:val="00111575"/>
    <w:rsid w:val="00116567"/>
    <w:rsid w:val="001202D8"/>
    <w:rsid w:val="00121190"/>
    <w:rsid w:val="00124189"/>
    <w:rsid w:val="0012565E"/>
    <w:rsid w:val="001268F5"/>
    <w:rsid w:val="0013310E"/>
    <w:rsid w:val="001422D4"/>
    <w:rsid w:val="001430D3"/>
    <w:rsid w:val="001442E2"/>
    <w:rsid w:val="0014634D"/>
    <w:rsid w:val="00153792"/>
    <w:rsid w:val="0015436E"/>
    <w:rsid w:val="00161C2E"/>
    <w:rsid w:val="00162A5C"/>
    <w:rsid w:val="00165C0C"/>
    <w:rsid w:val="00173018"/>
    <w:rsid w:val="001758EB"/>
    <w:rsid w:val="00180E86"/>
    <w:rsid w:val="001817AB"/>
    <w:rsid w:val="00181E70"/>
    <w:rsid w:val="00183E01"/>
    <w:rsid w:val="001879E6"/>
    <w:rsid w:val="00191206"/>
    <w:rsid w:val="00191AD3"/>
    <w:rsid w:val="00194886"/>
    <w:rsid w:val="00194E93"/>
    <w:rsid w:val="001965FA"/>
    <w:rsid w:val="001A115D"/>
    <w:rsid w:val="001A785F"/>
    <w:rsid w:val="001B0DE8"/>
    <w:rsid w:val="001B2158"/>
    <w:rsid w:val="001B52EB"/>
    <w:rsid w:val="001B7420"/>
    <w:rsid w:val="001C41AF"/>
    <w:rsid w:val="001D1367"/>
    <w:rsid w:val="001D27B5"/>
    <w:rsid w:val="001E1683"/>
    <w:rsid w:val="001E173C"/>
    <w:rsid w:val="001E5650"/>
    <w:rsid w:val="001E6978"/>
    <w:rsid w:val="001E7BBD"/>
    <w:rsid w:val="001F7356"/>
    <w:rsid w:val="00200710"/>
    <w:rsid w:val="00201BE1"/>
    <w:rsid w:val="002041C5"/>
    <w:rsid w:val="00205160"/>
    <w:rsid w:val="002058AF"/>
    <w:rsid w:val="00205962"/>
    <w:rsid w:val="00211D48"/>
    <w:rsid w:val="00217D39"/>
    <w:rsid w:val="002205AD"/>
    <w:rsid w:val="002222BD"/>
    <w:rsid w:val="00222F73"/>
    <w:rsid w:val="00231E45"/>
    <w:rsid w:val="002344C4"/>
    <w:rsid w:val="0025011B"/>
    <w:rsid w:val="00250E74"/>
    <w:rsid w:val="00252BBC"/>
    <w:rsid w:val="0025349F"/>
    <w:rsid w:val="002536D8"/>
    <w:rsid w:val="00254C47"/>
    <w:rsid w:val="0025503F"/>
    <w:rsid w:val="0025571C"/>
    <w:rsid w:val="002633C0"/>
    <w:rsid w:val="00263584"/>
    <w:rsid w:val="00263F9F"/>
    <w:rsid w:val="002670F3"/>
    <w:rsid w:val="0027090A"/>
    <w:rsid w:val="00270EB8"/>
    <w:rsid w:val="00272534"/>
    <w:rsid w:val="00272ECE"/>
    <w:rsid w:val="00281141"/>
    <w:rsid w:val="00282355"/>
    <w:rsid w:val="0028327F"/>
    <w:rsid w:val="002874DD"/>
    <w:rsid w:val="00287A1D"/>
    <w:rsid w:val="00287EF2"/>
    <w:rsid w:val="00293E52"/>
    <w:rsid w:val="0029445D"/>
    <w:rsid w:val="00295163"/>
    <w:rsid w:val="00295CB7"/>
    <w:rsid w:val="002A2607"/>
    <w:rsid w:val="002A46D5"/>
    <w:rsid w:val="002A51A5"/>
    <w:rsid w:val="002A5BCA"/>
    <w:rsid w:val="002B11B6"/>
    <w:rsid w:val="002B6486"/>
    <w:rsid w:val="002B7FEE"/>
    <w:rsid w:val="002C5B11"/>
    <w:rsid w:val="002C7986"/>
    <w:rsid w:val="002C7B95"/>
    <w:rsid w:val="002D0365"/>
    <w:rsid w:val="002D06E9"/>
    <w:rsid w:val="002D1AF5"/>
    <w:rsid w:val="002D29E6"/>
    <w:rsid w:val="002D48E8"/>
    <w:rsid w:val="002D5033"/>
    <w:rsid w:val="002D58AE"/>
    <w:rsid w:val="002D6872"/>
    <w:rsid w:val="002E3F61"/>
    <w:rsid w:val="002E41ED"/>
    <w:rsid w:val="002E608D"/>
    <w:rsid w:val="002E7E33"/>
    <w:rsid w:val="002F2FD3"/>
    <w:rsid w:val="002F6081"/>
    <w:rsid w:val="002F7BA1"/>
    <w:rsid w:val="00301270"/>
    <w:rsid w:val="003130A3"/>
    <w:rsid w:val="00314314"/>
    <w:rsid w:val="00314A6B"/>
    <w:rsid w:val="003174FB"/>
    <w:rsid w:val="003333D7"/>
    <w:rsid w:val="00333BB8"/>
    <w:rsid w:val="003356D9"/>
    <w:rsid w:val="00337632"/>
    <w:rsid w:val="00342336"/>
    <w:rsid w:val="00345DBF"/>
    <w:rsid w:val="00351899"/>
    <w:rsid w:val="00353320"/>
    <w:rsid w:val="0035469A"/>
    <w:rsid w:val="00370D1E"/>
    <w:rsid w:val="00376E1D"/>
    <w:rsid w:val="003802A9"/>
    <w:rsid w:val="00385DCF"/>
    <w:rsid w:val="00386E33"/>
    <w:rsid w:val="0039039F"/>
    <w:rsid w:val="00390B92"/>
    <w:rsid w:val="0039181F"/>
    <w:rsid w:val="003956BF"/>
    <w:rsid w:val="0039709C"/>
    <w:rsid w:val="00397F32"/>
    <w:rsid w:val="003A44DB"/>
    <w:rsid w:val="003A5BAC"/>
    <w:rsid w:val="003A7B64"/>
    <w:rsid w:val="003B0C13"/>
    <w:rsid w:val="003B24DC"/>
    <w:rsid w:val="003B5A90"/>
    <w:rsid w:val="003B755D"/>
    <w:rsid w:val="003C1F39"/>
    <w:rsid w:val="003C2728"/>
    <w:rsid w:val="003C27FB"/>
    <w:rsid w:val="003C60A1"/>
    <w:rsid w:val="003D1CEF"/>
    <w:rsid w:val="003D362E"/>
    <w:rsid w:val="003D3ECC"/>
    <w:rsid w:val="003E1EF6"/>
    <w:rsid w:val="003E28A3"/>
    <w:rsid w:val="003E6B1D"/>
    <w:rsid w:val="003F00BB"/>
    <w:rsid w:val="003F25DE"/>
    <w:rsid w:val="003F2D1C"/>
    <w:rsid w:val="003F42AB"/>
    <w:rsid w:val="003F5986"/>
    <w:rsid w:val="003F5A4A"/>
    <w:rsid w:val="003F5FAB"/>
    <w:rsid w:val="004014C1"/>
    <w:rsid w:val="00401B0B"/>
    <w:rsid w:val="0040222D"/>
    <w:rsid w:val="00402C4D"/>
    <w:rsid w:val="004062F4"/>
    <w:rsid w:val="00407DE4"/>
    <w:rsid w:val="0041060B"/>
    <w:rsid w:val="00413BE2"/>
    <w:rsid w:val="00416536"/>
    <w:rsid w:val="004167A9"/>
    <w:rsid w:val="00416C37"/>
    <w:rsid w:val="0042033D"/>
    <w:rsid w:val="00420E03"/>
    <w:rsid w:val="00422052"/>
    <w:rsid w:val="00425BE3"/>
    <w:rsid w:val="0043041E"/>
    <w:rsid w:val="00431931"/>
    <w:rsid w:val="00433F3D"/>
    <w:rsid w:val="0043792C"/>
    <w:rsid w:val="00440941"/>
    <w:rsid w:val="004436C1"/>
    <w:rsid w:val="00445D54"/>
    <w:rsid w:val="00447A87"/>
    <w:rsid w:val="00456F42"/>
    <w:rsid w:val="004607F2"/>
    <w:rsid w:val="00465C3D"/>
    <w:rsid w:val="004721A2"/>
    <w:rsid w:val="00472ECB"/>
    <w:rsid w:val="004741C2"/>
    <w:rsid w:val="00482DB3"/>
    <w:rsid w:val="004916DB"/>
    <w:rsid w:val="00496B71"/>
    <w:rsid w:val="004B0AE8"/>
    <w:rsid w:val="004B3637"/>
    <w:rsid w:val="004B3C7C"/>
    <w:rsid w:val="004B4AA0"/>
    <w:rsid w:val="004B4E72"/>
    <w:rsid w:val="004B5728"/>
    <w:rsid w:val="004B7AA2"/>
    <w:rsid w:val="004B7D05"/>
    <w:rsid w:val="004C16B3"/>
    <w:rsid w:val="004C54F3"/>
    <w:rsid w:val="004C6752"/>
    <w:rsid w:val="004D6C9C"/>
    <w:rsid w:val="004D7BCD"/>
    <w:rsid w:val="004E094E"/>
    <w:rsid w:val="004E5177"/>
    <w:rsid w:val="004E6823"/>
    <w:rsid w:val="004F251E"/>
    <w:rsid w:val="004F3EC9"/>
    <w:rsid w:val="00500E2F"/>
    <w:rsid w:val="00501F4B"/>
    <w:rsid w:val="00502AD0"/>
    <w:rsid w:val="005035BA"/>
    <w:rsid w:val="00503EB3"/>
    <w:rsid w:val="005055BD"/>
    <w:rsid w:val="00507665"/>
    <w:rsid w:val="00513A63"/>
    <w:rsid w:val="0051677B"/>
    <w:rsid w:val="00516D13"/>
    <w:rsid w:val="005266F2"/>
    <w:rsid w:val="0052779B"/>
    <w:rsid w:val="00527F21"/>
    <w:rsid w:val="0053261E"/>
    <w:rsid w:val="005335ED"/>
    <w:rsid w:val="00533943"/>
    <w:rsid w:val="00534ABD"/>
    <w:rsid w:val="00535BD6"/>
    <w:rsid w:val="0054104B"/>
    <w:rsid w:val="00551263"/>
    <w:rsid w:val="0055171C"/>
    <w:rsid w:val="00552015"/>
    <w:rsid w:val="005552E2"/>
    <w:rsid w:val="00556C5F"/>
    <w:rsid w:val="005578D8"/>
    <w:rsid w:val="00560B57"/>
    <w:rsid w:val="00576B3C"/>
    <w:rsid w:val="005774C8"/>
    <w:rsid w:val="00577F14"/>
    <w:rsid w:val="00593887"/>
    <w:rsid w:val="005969C5"/>
    <w:rsid w:val="00596AEA"/>
    <w:rsid w:val="005A2FB8"/>
    <w:rsid w:val="005A313E"/>
    <w:rsid w:val="005A49C0"/>
    <w:rsid w:val="005A6EE0"/>
    <w:rsid w:val="005A7295"/>
    <w:rsid w:val="005B24FA"/>
    <w:rsid w:val="005B287A"/>
    <w:rsid w:val="005B4658"/>
    <w:rsid w:val="005B6887"/>
    <w:rsid w:val="005C1E10"/>
    <w:rsid w:val="005C4362"/>
    <w:rsid w:val="005D054F"/>
    <w:rsid w:val="005D117C"/>
    <w:rsid w:val="005D42CF"/>
    <w:rsid w:val="005D74E2"/>
    <w:rsid w:val="005E0C40"/>
    <w:rsid w:val="005E0CE4"/>
    <w:rsid w:val="005E0D23"/>
    <w:rsid w:val="005E4053"/>
    <w:rsid w:val="005E4B1C"/>
    <w:rsid w:val="005E5BC4"/>
    <w:rsid w:val="005F12BF"/>
    <w:rsid w:val="005F1592"/>
    <w:rsid w:val="005F45CA"/>
    <w:rsid w:val="005F5F9D"/>
    <w:rsid w:val="00602A0A"/>
    <w:rsid w:val="0060517E"/>
    <w:rsid w:val="006100B1"/>
    <w:rsid w:val="00612A3F"/>
    <w:rsid w:val="00613D50"/>
    <w:rsid w:val="00613F73"/>
    <w:rsid w:val="006202AF"/>
    <w:rsid w:val="00625777"/>
    <w:rsid w:val="00625DDD"/>
    <w:rsid w:val="00630115"/>
    <w:rsid w:val="00632CA9"/>
    <w:rsid w:val="00633330"/>
    <w:rsid w:val="006369B6"/>
    <w:rsid w:val="00644516"/>
    <w:rsid w:val="0065082B"/>
    <w:rsid w:val="00652090"/>
    <w:rsid w:val="0066032E"/>
    <w:rsid w:val="00661A10"/>
    <w:rsid w:val="00661FAA"/>
    <w:rsid w:val="00662FE5"/>
    <w:rsid w:val="00666B48"/>
    <w:rsid w:val="006672B2"/>
    <w:rsid w:val="00667A9E"/>
    <w:rsid w:val="006722E5"/>
    <w:rsid w:val="00673D18"/>
    <w:rsid w:val="00676559"/>
    <w:rsid w:val="00676D00"/>
    <w:rsid w:val="0067720E"/>
    <w:rsid w:val="00677B46"/>
    <w:rsid w:val="00680C43"/>
    <w:rsid w:val="0068338F"/>
    <w:rsid w:val="006834D6"/>
    <w:rsid w:val="00685653"/>
    <w:rsid w:val="00691BF4"/>
    <w:rsid w:val="00693ED3"/>
    <w:rsid w:val="00697599"/>
    <w:rsid w:val="006A1BDD"/>
    <w:rsid w:val="006A3A63"/>
    <w:rsid w:val="006B45E5"/>
    <w:rsid w:val="006B4954"/>
    <w:rsid w:val="006B6E1A"/>
    <w:rsid w:val="006B7CCC"/>
    <w:rsid w:val="006C1CBC"/>
    <w:rsid w:val="006C28BE"/>
    <w:rsid w:val="006C37D3"/>
    <w:rsid w:val="006C6A0B"/>
    <w:rsid w:val="006E099D"/>
    <w:rsid w:val="006E145C"/>
    <w:rsid w:val="006E15D6"/>
    <w:rsid w:val="006E1FEF"/>
    <w:rsid w:val="006E246B"/>
    <w:rsid w:val="006E28A1"/>
    <w:rsid w:val="006E7786"/>
    <w:rsid w:val="006F10B4"/>
    <w:rsid w:val="00700676"/>
    <w:rsid w:val="00701936"/>
    <w:rsid w:val="00702CFC"/>
    <w:rsid w:val="00704524"/>
    <w:rsid w:val="007100E2"/>
    <w:rsid w:val="00710D81"/>
    <w:rsid w:val="00715148"/>
    <w:rsid w:val="00717823"/>
    <w:rsid w:val="0072211C"/>
    <w:rsid w:val="007228EC"/>
    <w:rsid w:val="0072333B"/>
    <w:rsid w:val="00723C83"/>
    <w:rsid w:val="00730D18"/>
    <w:rsid w:val="00735F70"/>
    <w:rsid w:val="00736219"/>
    <w:rsid w:val="00736920"/>
    <w:rsid w:val="007405B5"/>
    <w:rsid w:val="00740C66"/>
    <w:rsid w:val="007434E8"/>
    <w:rsid w:val="0074362E"/>
    <w:rsid w:val="00743EAF"/>
    <w:rsid w:val="007447F2"/>
    <w:rsid w:val="0074736C"/>
    <w:rsid w:val="007473E8"/>
    <w:rsid w:val="007502E0"/>
    <w:rsid w:val="00752648"/>
    <w:rsid w:val="007563E7"/>
    <w:rsid w:val="00757B7B"/>
    <w:rsid w:val="007609CF"/>
    <w:rsid w:val="00764FF6"/>
    <w:rsid w:val="00765355"/>
    <w:rsid w:val="0077093E"/>
    <w:rsid w:val="00771354"/>
    <w:rsid w:val="00775538"/>
    <w:rsid w:val="00776442"/>
    <w:rsid w:val="00781EC3"/>
    <w:rsid w:val="0078752D"/>
    <w:rsid w:val="00790A9B"/>
    <w:rsid w:val="0079114A"/>
    <w:rsid w:val="00792186"/>
    <w:rsid w:val="007923BB"/>
    <w:rsid w:val="00794627"/>
    <w:rsid w:val="007A0A7E"/>
    <w:rsid w:val="007A110E"/>
    <w:rsid w:val="007A3048"/>
    <w:rsid w:val="007A6331"/>
    <w:rsid w:val="007B7346"/>
    <w:rsid w:val="007C11A7"/>
    <w:rsid w:val="007C1B14"/>
    <w:rsid w:val="007C58DC"/>
    <w:rsid w:val="007C7FA4"/>
    <w:rsid w:val="007D40A2"/>
    <w:rsid w:val="007D5DFC"/>
    <w:rsid w:val="007D7114"/>
    <w:rsid w:val="007D79CE"/>
    <w:rsid w:val="007D7FEA"/>
    <w:rsid w:val="007E1AFB"/>
    <w:rsid w:val="007F16F2"/>
    <w:rsid w:val="007F49B3"/>
    <w:rsid w:val="007F4E6E"/>
    <w:rsid w:val="00800DA9"/>
    <w:rsid w:val="00801BE2"/>
    <w:rsid w:val="008034CC"/>
    <w:rsid w:val="00804852"/>
    <w:rsid w:val="00804F65"/>
    <w:rsid w:val="0081316C"/>
    <w:rsid w:val="00820873"/>
    <w:rsid w:val="00822E79"/>
    <w:rsid w:val="00826D78"/>
    <w:rsid w:val="00830162"/>
    <w:rsid w:val="00830632"/>
    <w:rsid w:val="00831831"/>
    <w:rsid w:val="00831D12"/>
    <w:rsid w:val="008333EC"/>
    <w:rsid w:val="008366DA"/>
    <w:rsid w:val="00836D6B"/>
    <w:rsid w:val="0083756E"/>
    <w:rsid w:val="00845218"/>
    <w:rsid w:val="00845A6B"/>
    <w:rsid w:val="00845F99"/>
    <w:rsid w:val="00862CDE"/>
    <w:rsid w:val="008641E9"/>
    <w:rsid w:val="00866FF4"/>
    <w:rsid w:val="008702B0"/>
    <w:rsid w:val="00873030"/>
    <w:rsid w:val="0087322B"/>
    <w:rsid w:val="00877DBD"/>
    <w:rsid w:val="00877E6E"/>
    <w:rsid w:val="008806E5"/>
    <w:rsid w:val="00880E79"/>
    <w:rsid w:val="0088102D"/>
    <w:rsid w:val="00881FDB"/>
    <w:rsid w:val="00884D28"/>
    <w:rsid w:val="00895409"/>
    <w:rsid w:val="00897538"/>
    <w:rsid w:val="008A188D"/>
    <w:rsid w:val="008A4A0D"/>
    <w:rsid w:val="008A7463"/>
    <w:rsid w:val="008B25CC"/>
    <w:rsid w:val="008B2C9D"/>
    <w:rsid w:val="008B4FF0"/>
    <w:rsid w:val="008B554B"/>
    <w:rsid w:val="008B6523"/>
    <w:rsid w:val="008C38A5"/>
    <w:rsid w:val="008C4B9C"/>
    <w:rsid w:val="008C5611"/>
    <w:rsid w:val="008C74A4"/>
    <w:rsid w:val="008D1707"/>
    <w:rsid w:val="008D42F3"/>
    <w:rsid w:val="008E0B4A"/>
    <w:rsid w:val="008E1611"/>
    <w:rsid w:val="008E1D14"/>
    <w:rsid w:val="008E2BB4"/>
    <w:rsid w:val="008E47A7"/>
    <w:rsid w:val="008E48BE"/>
    <w:rsid w:val="008E6717"/>
    <w:rsid w:val="008F0A6F"/>
    <w:rsid w:val="008F2246"/>
    <w:rsid w:val="008F56CA"/>
    <w:rsid w:val="008F56FF"/>
    <w:rsid w:val="009020D6"/>
    <w:rsid w:val="00902D97"/>
    <w:rsid w:val="00905F6D"/>
    <w:rsid w:val="009110FD"/>
    <w:rsid w:val="009129DF"/>
    <w:rsid w:val="0091556A"/>
    <w:rsid w:val="0091750E"/>
    <w:rsid w:val="00920AF4"/>
    <w:rsid w:val="00921CEC"/>
    <w:rsid w:val="00924709"/>
    <w:rsid w:val="00927FF8"/>
    <w:rsid w:val="0093164E"/>
    <w:rsid w:val="00933202"/>
    <w:rsid w:val="00933EAA"/>
    <w:rsid w:val="00933F97"/>
    <w:rsid w:val="0094304C"/>
    <w:rsid w:val="00953C78"/>
    <w:rsid w:val="0095499E"/>
    <w:rsid w:val="009607C1"/>
    <w:rsid w:val="00961499"/>
    <w:rsid w:val="009645E8"/>
    <w:rsid w:val="009659BB"/>
    <w:rsid w:val="00967CF7"/>
    <w:rsid w:val="009708FA"/>
    <w:rsid w:val="00975ABC"/>
    <w:rsid w:val="00977678"/>
    <w:rsid w:val="00981DFE"/>
    <w:rsid w:val="00981F79"/>
    <w:rsid w:val="009A0D5D"/>
    <w:rsid w:val="009A1460"/>
    <w:rsid w:val="009A3BE0"/>
    <w:rsid w:val="009A411B"/>
    <w:rsid w:val="009A51BA"/>
    <w:rsid w:val="009B0116"/>
    <w:rsid w:val="009B063A"/>
    <w:rsid w:val="009B5EE0"/>
    <w:rsid w:val="009C0E62"/>
    <w:rsid w:val="009C26D1"/>
    <w:rsid w:val="009D2CED"/>
    <w:rsid w:val="009E02C4"/>
    <w:rsid w:val="009E1490"/>
    <w:rsid w:val="009E2D18"/>
    <w:rsid w:val="009E3849"/>
    <w:rsid w:val="009E49B9"/>
    <w:rsid w:val="009E7E4A"/>
    <w:rsid w:val="009F4023"/>
    <w:rsid w:val="009F7BB8"/>
    <w:rsid w:val="009F7C2F"/>
    <w:rsid w:val="00A031CE"/>
    <w:rsid w:val="00A10B01"/>
    <w:rsid w:val="00A14CAF"/>
    <w:rsid w:val="00A15B30"/>
    <w:rsid w:val="00A20E16"/>
    <w:rsid w:val="00A21376"/>
    <w:rsid w:val="00A213C3"/>
    <w:rsid w:val="00A223F4"/>
    <w:rsid w:val="00A27865"/>
    <w:rsid w:val="00A330D1"/>
    <w:rsid w:val="00A3383A"/>
    <w:rsid w:val="00A372FD"/>
    <w:rsid w:val="00A37E9D"/>
    <w:rsid w:val="00A400EE"/>
    <w:rsid w:val="00A40D92"/>
    <w:rsid w:val="00A415F5"/>
    <w:rsid w:val="00A452EF"/>
    <w:rsid w:val="00A504F3"/>
    <w:rsid w:val="00A54AB5"/>
    <w:rsid w:val="00A56210"/>
    <w:rsid w:val="00A61FD4"/>
    <w:rsid w:val="00A650C5"/>
    <w:rsid w:val="00A657ED"/>
    <w:rsid w:val="00A760ED"/>
    <w:rsid w:val="00A81BA7"/>
    <w:rsid w:val="00A83CB7"/>
    <w:rsid w:val="00A850D3"/>
    <w:rsid w:val="00A8690B"/>
    <w:rsid w:val="00A86DD2"/>
    <w:rsid w:val="00A90707"/>
    <w:rsid w:val="00A92765"/>
    <w:rsid w:val="00A94D75"/>
    <w:rsid w:val="00A95063"/>
    <w:rsid w:val="00A9539F"/>
    <w:rsid w:val="00A96B44"/>
    <w:rsid w:val="00A97DB6"/>
    <w:rsid w:val="00AA2E08"/>
    <w:rsid w:val="00AA3961"/>
    <w:rsid w:val="00AA51BA"/>
    <w:rsid w:val="00AA5307"/>
    <w:rsid w:val="00AA7664"/>
    <w:rsid w:val="00AA7DBF"/>
    <w:rsid w:val="00AB0B0E"/>
    <w:rsid w:val="00AB319E"/>
    <w:rsid w:val="00AC0C30"/>
    <w:rsid w:val="00AC25DF"/>
    <w:rsid w:val="00AC26AA"/>
    <w:rsid w:val="00AC4869"/>
    <w:rsid w:val="00AD1BEC"/>
    <w:rsid w:val="00AD4135"/>
    <w:rsid w:val="00AD513A"/>
    <w:rsid w:val="00AD7D4C"/>
    <w:rsid w:val="00AE371F"/>
    <w:rsid w:val="00AE38ED"/>
    <w:rsid w:val="00AE462E"/>
    <w:rsid w:val="00AE56EA"/>
    <w:rsid w:val="00AE72B9"/>
    <w:rsid w:val="00AE76BC"/>
    <w:rsid w:val="00AE7E5F"/>
    <w:rsid w:val="00AF6F3E"/>
    <w:rsid w:val="00B0367F"/>
    <w:rsid w:val="00B038A2"/>
    <w:rsid w:val="00B0405E"/>
    <w:rsid w:val="00B05DEC"/>
    <w:rsid w:val="00B138D1"/>
    <w:rsid w:val="00B1528C"/>
    <w:rsid w:val="00B15DBD"/>
    <w:rsid w:val="00B239A7"/>
    <w:rsid w:val="00B24DB9"/>
    <w:rsid w:val="00B25CD3"/>
    <w:rsid w:val="00B301BA"/>
    <w:rsid w:val="00B31CAF"/>
    <w:rsid w:val="00B34BB3"/>
    <w:rsid w:val="00B40620"/>
    <w:rsid w:val="00B40982"/>
    <w:rsid w:val="00B41993"/>
    <w:rsid w:val="00B506CA"/>
    <w:rsid w:val="00B53F94"/>
    <w:rsid w:val="00B56D4A"/>
    <w:rsid w:val="00B57044"/>
    <w:rsid w:val="00B6177C"/>
    <w:rsid w:val="00B6350D"/>
    <w:rsid w:val="00B6498D"/>
    <w:rsid w:val="00B710DA"/>
    <w:rsid w:val="00B72036"/>
    <w:rsid w:val="00B72A82"/>
    <w:rsid w:val="00B7413A"/>
    <w:rsid w:val="00B7651A"/>
    <w:rsid w:val="00B80492"/>
    <w:rsid w:val="00B825DC"/>
    <w:rsid w:val="00B85062"/>
    <w:rsid w:val="00B85104"/>
    <w:rsid w:val="00B861CF"/>
    <w:rsid w:val="00B92011"/>
    <w:rsid w:val="00B941EA"/>
    <w:rsid w:val="00BA47CF"/>
    <w:rsid w:val="00BB4B0E"/>
    <w:rsid w:val="00BB6516"/>
    <w:rsid w:val="00BB7E23"/>
    <w:rsid w:val="00BC0860"/>
    <w:rsid w:val="00BC0D54"/>
    <w:rsid w:val="00BC2EC0"/>
    <w:rsid w:val="00BC402A"/>
    <w:rsid w:val="00BC7AA8"/>
    <w:rsid w:val="00BD1635"/>
    <w:rsid w:val="00BD3302"/>
    <w:rsid w:val="00BD4202"/>
    <w:rsid w:val="00BE2957"/>
    <w:rsid w:val="00BE3F1D"/>
    <w:rsid w:val="00BF19D6"/>
    <w:rsid w:val="00BF1B6A"/>
    <w:rsid w:val="00BF5146"/>
    <w:rsid w:val="00BF61EC"/>
    <w:rsid w:val="00BF6D78"/>
    <w:rsid w:val="00C020AB"/>
    <w:rsid w:val="00C022B9"/>
    <w:rsid w:val="00C04916"/>
    <w:rsid w:val="00C05B42"/>
    <w:rsid w:val="00C10C9B"/>
    <w:rsid w:val="00C1147E"/>
    <w:rsid w:val="00C11B46"/>
    <w:rsid w:val="00C11CFC"/>
    <w:rsid w:val="00C12027"/>
    <w:rsid w:val="00C13B8E"/>
    <w:rsid w:val="00C206A0"/>
    <w:rsid w:val="00C22A61"/>
    <w:rsid w:val="00C248CD"/>
    <w:rsid w:val="00C31887"/>
    <w:rsid w:val="00C34EC0"/>
    <w:rsid w:val="00C368F4"/>
    <w:rsid w:val="00C4505C"/>
    <w:rsid w:val="00C55430"/>
    <w:rsid w:val="00C562BA"/>
    <w:rsid w:val="00C57005"/>
    <w:rsid w:val="00C57D15"/>
    <w:rsid w:val="00C65DDE"/>
    <w:rsid w:val="00C70403"/>
    <w:rsid w:val="00C7115F"/>
    <w:rsid w:val="00C7350B"/>
    <w:rsid w:val="00C735D6"/>
    <w:rsid w:val="00C75868"/>
    <w:rsid w:val="00C77697"/>
    <w:rsid w:val="00C77DDD"/>
    <w:rsid w:val="00C854EC"/>
    <w:rsid w:val="00C872C4"/>
    <w:rsid w:val="00C901EB"/>
    <w:rsid w:val="00C96984"/>
    <w:rsid w:val="00C976DA"/>
    <w:rsid w:val="00CA0715"/>
    <w:rsid w:val="00CA257A"/>
    <w:rsid w:val="00CB1A00"/>
    <w:rsid w:val="00CB2268"/>
    <w:rsid w:val="00CB3E00"/>
    <w:rsid w:val="00CB7BA4"/>
    <w:rsid w:val="00CD26A2"/>
    <w:rsid w:val="00CD438D"/>
    <w:rsid w:val="00CD4B90"/>
    <w:rsid w:val="00CE61D3"/>
    <w:rsid w:val="00CE6C33"/>
    <w:rsid w:val="00CF05EC"/>
    <w:rsid w:val="00CF099C"/>
    <w:rsid w:val="00CF0E2F"/>
    <w:rsid w:val="00CF1A56"/>
    <w:rsid w:val="00CF6A3C"/>
    <w:rsid w:val="00D0262C"/>
    <w:rsid w:val="00D033B8"/>
    <w:rsid w:val="00D127DD"/>
    <w:rsid w:val="00D17C83"/>
    <w:rsid w:val="00D203A5"/>
    <w:rsid w:val="00D21B35"/>
    <w:rsid w:val="00D250CD"/>
    <w:rsid w:val="00D266B6"/>
    <w:rsid w:val="00D26A9F"/>
    <w:rsid w:val="00D32F7B"/>
    <w:rsid w:val="00D33B74"/>
    <w:rsid w:val="00D43774"/>
    <w:rsid w:val="00D52559"/>
    <w:rsid w:val="00D52EF7"/>
    <w:rsid w:val="00D6007C"/>
    <w:rsid w:val="00D61B9F"/>
    <w:rsid w:val="00D63BDB"/>
    <w:rsid w:val="00D714FD"/>
    <w:rsid w:val="00D74F57"/>
    <w:rsid w:val="00D80B20"/>
    <w:rsid w:val="00D8202D"/>
    <w:rsid w:val="00D82289"/>
    <w:rsid w:val="00D8334E"/>
    <w:rsid w:val="00D84345"/>
    <w:rsid w:val="00D8464C"/>
    <w:rsid w:val="00D84B94"/>
    <w:rsid w:val="00D95B51"/>
    <w:rsid w:val="00D965E1"/>
    <w:rsid w:val="00DA3084"/>
    <w:rsid w:val="00DA48C4"/>
    <w:rsid w:val="00DA6762"/>
    <w:rsid w:val="00DA76DC"/>
    <w:rsid w:val="00DB2DF4"/>
    <w:rsid w:val="00DB2F19"/>
    <w:rsid w:val="00DB5104"/>
    <w:rsid w:val="00DB5922"/>
    <w:rsid w:val="00DB6A22"/>
    <w:rsid w:val="00DB7FA5"/>
    <w:rsid w:val="00DC47ED"/>
    <w:rsid w:val="00DC5D39"/>
    <w:rsid w:val="00DD582C"/>
    <w:rsid w:val="00DD5FB6"/>
    <w:rsid w:val="00DD6AA6"/>
    <w:rsid w:val="00DE2309"/>
    <w:rsid w:val="00DE6025"/>
    <w:rsid w:val="00DE6927"/>
    <w:rsid w:val="00DF2A31"/>
    <w:rsid w:val="00DF421D"/>
    <w:rsid w:val="00DF42CD"/>
    <w:rsid w:val="00DF47FC"/>
    <w:rsid w:val="00DF48E2"/>
    <w:rsid w:val="00E02163"/>
    <w:rsid w:val="00E0709E"/>
    <w:rsid w:val="00E11A9A"/>
    <w:rsid w:val="00E11BF5"/>
    <w:rsid w:val="00E137FF"/>
    <w:rsid w:val="00E16BFA"/>
    <w:rsid w:val="00E17BCF"/>
    <w:rsid w:val="00E20EC9"/>
    <w:rsid w:val="00E21714"/>
    <w:rsid w:val="00E230FB"/>
    <w:rsid w:val="00E26301"/>
    <w:rsid w:val="00E2754A"/>
    <w:rsid w:val="00E2774D"/>
    <w:rsid w:val="00E309B0"/>
    <w:rsid w:val="00E348BA"/>
    <w:rsid w:val="00E3590D"/>
    <w:rsid w:val="00E41E8D"/>
    <w:rsid w:val="00E44B59"/>
    <w:rsid w:val="00E50917"/>
    <w:rsid w:val="00E54B15"/>
    <w:rsid w:val="00E57A52"/>
    <w:rsid w:val="00E60555"/>
    <w:rsid w:val="00E66BBC"/>
    <w:rsid w:val="00E7054C"/>
    <w:rsid w:val="00E73EE7"/>
    <w:rsid w:val="00E75C9E"/>
    <w:rsid w:val="00E772CC"/>
    <w:rsid w:val="00E816B2"/>
    <w:rsid w:val="00E82416"/>
    <w:rsid w:val="00E838EC"/>
    <w:rsid w:val="00E83FD8"/>
    <w:rsid w:val="00E91E4D"/>
    <w:rsid w:val="00E9224B"/>
    <w:rsid w:val="00E92F2A"/>
    <w:rsid w:val="00E96792"/>
    <w:rsid w:val="00EA5558"/>
    <w:rsid w:val="00EA58E2"/>
    <w:rsid w:val="00EA61ED"/>
    <w:rsid w:val="00EA70C8"/>
    <w:rsid w:val="00EB3FDB"/>
    <w:rsid w:val="00EB40A7"/>
    <w:rsid w:val="00EC1216"/>
    <w:rsid w:val="00EC5941"/>
    <w:rsid w:val="00EC5EC1"/>
    <w:rsid w:val="00EC5F29"/>
    <w:rsid w:val="00EC620F"/>
    <w:rsid w:val="00EC62D1"/>
    <w:rsid w:val="00EC6B5D"/>
    <w:rsid w:val="00EC794B"/>
    <w:rsid w:val="00ED05CC"/>
    <w:rsid w:val="00ED4956"/>
    <w:rsid w:val="00ED6059"/>
    <w:rsid w:val="00ED6597"/>
    <w:rsid w:val="00ED6CA1"/>
    <w:rsid w:val="00EE0046"/>
    <w:rsid w:val="00EE34B8"/>
    <w:rsid w:val="00EE6400"/>
    <w:rsid w:val="00EF1EDC"/>
    <w:rsid w:val="00EF4290"/>
    <w:rsid w:val="00EF4433"/>
    <w:rsid w:val="00EF4CED"/>
    <w:rsid w:val="00EF6A91"/>
    <w:rsid w:val="00EF744A"/>
    <w:rsid w:val="00F05771"/>
    <w:rsid w:val="00F072A3"/>
    <w:rsid w:val="00F07E5F"/>
    <w:rsid w:val="00F140B8"/>
    <w:rsid w:val="00F21E59"/>
    <w:rsid w:val="00F22A92"/>
    <w:rsid w:val="00F26D83"/>
    <w:rsid w:val="00F41065"/>
    <w:rsid w:val="00F45C14"/>
    <w:rsid w:val="00F53C97"/>
    <w:rsid w:val="00F552DE"/>
    <w:rsid w:val="00F63707"/>
    <w:rsid w:val="00F717FE"/>
    <w:rsid w:val="00F7360E"/>
    <w:rsid w:val="00F76DE6"/>
    <w:rsid w:val="00F81683"/>
    <w:rsid w:val="00F83400"/>
    <w:rsid w:val="00F84E89"/>
    <w:rsid w:val="00F869C8"/>
    <w:rsid w:val="00F95EEE"/>
    <w:rsid w:val="00FA0269"/>
    <w:rsid w:val="00FA1DF4"/>
    <w:rsid w:val="00FA4B54"/>
    <w:rsid w:val="00FA6756"/>
    <w:rsid w:val="00FB4878"/>
    <w:rsid w:val="00FB5039"/>
    <w:rsid w:val="00FB5854"/>
    <w:rsid w:val="00FB6305"/>
    <w:rsid w:val="00FB6961"/>
    <w:rsid w:val="00FB714C"/>
    <w:rsid w:val="00FB7844"/>
    <w:rsid w:val="00FB7EFA"/>
    <w:rsid w:val="00FC1AEB"/>
    <w:rsid w:val="00FC229C"/>
    <w:rsid w:val="00FC3756"/>
    <w:rsid w:val="00FC5161"/>
    <w:rsid w:val="00FC61C3"/>
    <w:rsid w:val="00FD22BA"/>
    <w:rsid w:val="00FD7423"/>
    <w:rsid w:val="00FE1DDC"/>
    <w:rsid w:val="00FE27B4"/>
    <w:rsid w:val="00FE350E"/>
    <w:rsid w:val="00FE37E7"/>
    <w:rsid w:val="00FE5595"/>
    <w:rsid w:val="00FF110F"/>
    <w:rsid w:val="00FF2F0D"/>
    <w:rsid w:val="00FF382F"/>
    <w:rsid w:val="23844A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8">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alloon Text"/>
    <w:basedOn w:val="1"/>
    <w:link w:val="16"/>
    <w:semiHidden/>
    <w:unhideWhenUsed/>
    <w:qFormat/>
    <w:uiPriority w:val="99"/>
    <w:rPr>
      <w:sz w:val="18"/>
      <w:szCs w:val="18"/>
    </w:rPr>
  </w:style>
  <w:style w:type="paragraph" w:styleId="3">
    <w:name w:val="footer"/>
    <w:basedOn w:val="1"/>
    <w:link w:val="14"/>
    <w:unhideWhenUsed/>
    <w:qFormat/>
    <w:uiPriority w:val="99"/>
    <w:pPr>
      <w:tabs>
        <w:tab w:val="center" w:pos="4153"/>
        <w:tab w:val="right" w:pos="8306"/>
      </w:tabs>
      <w:snapToGrid w:val="0"/>
      <w:jc w:val="left"/>
    </w:pPr>
    <w:rPr>
      <w:rFonts w:ascii="Times New Roman" w:hAnsi="Times New Roman"/>
      <w:sz w:val="18"/>
      <w:szCs w:val="18"/>
    </w:rPr>
  </w:style>
  <w:style w:type="paragraph" w:styleId="4">
    <w:name w:val="header"/>
    <w:basedOn w:val="1"/>
    <w:link w:val="13"/>
    <w:semiHidden/>
    <w:unhideWhenUsed/>
    <w:qFormat/>
    <w:uiPriority w:val="99"/>
    <w:pPr>
      <w:pBdr>
        <w:bottom w:val="single" w:color="auto" w:sz="6" w:space="1"/>
      </w:pBdr>
      <w:tabs>
        <w:tab w:val="center" w:pos="4153"/>
        <w:tab w:val="right" w:pos="8306"/>
      </w:tabs>
      <w:snapToGrid w:val="0"/>
      <w:jc w:val="center"/>
    </w:pPr>
    <w:rPr>
      <w:rFonts w:ascii="Times New Roman" w:hAnsi="Times New Roman"/>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table" w:styleId="7">
    <w:name w:val="Table Grid"/>
    <w:basedOn w:val="6"/>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9">
    <w:name w:val="Strong"/>
    <w:basedOn w:val="8"/>
    <w:qFormat/>
    <w:uiPriority w:val="22"/>
    <w:rPr>
      <w:b/>
      <w:bCs/>
    </w:rPr>
  </w:style>
  <w:style w:type="character" w:styleId="10">
    <w:name w:val="Hyperlink"/>
    <w:basedOn w:val="8"/>
    <w:unhideWhenUsed/>
    <w:qFormat/>
    <w:uiPriority w:val="99"/>
    <w:rPr>
      <w:color w:val="107EBF"/>
      <w:u w:val="none"/>
    </w:rPr>
  </w:style>
  <w:style w:type="paragraph" w:customStyle="1" w:styleId="11">
    <w:name w:val="标题1"/>
    <w:basedOn w:val="1"/>
    <w:link w:val="12"/>
    <w:qFormat/>
    <w:uiPriority w:val="0"/>
    <w:pPr>
      <w:spacing w:line="600" w:lineRule="auto"/>
      <w:ind w:firstLine="573"/>
      <w:jc w:val="center"/>
    </w:pPr>
    <w:rPr>
      <w:rFonts w:ascii="宋体" w:hAnsi="宋体"/>
      <w:b/>
      <w:sz w:val="28"/>
      <w:szCs w:val="30"/>
    </w:rPr>
  </w:style>
  <w:style w:type="character" w:customStyle="1" w:styleId="12">
    <w:name w:val="标题1 Char"/>
    <w:basedOn w:val="8"/>
    <w:link w:val="11"/>
    <w:qFormat/>
    <w:uiPriority w:val="0"/>
    <w:rPr>
      <w:rFonts w:ascii="宋体" w:hAnsi="宋体" w:eastAsia="宋体" w:cs="Times New Roman"/>
      <w:b/>
      <w:sz w:val="28"/>
      <w:szCs w:val="30"/>
    </w:rPr>
  </w:style>
  <w:style w:type="character" w:customStyle="1" w:styleId="13">
    <w:name w:val="页眉 Char"/>
    <w:basedOn w:val="8"/>
    <w:link w:val="4"/>
    <w:semiHidden/>
    <w:qFormat/>
    <w:uiPriority w:val="99"/>
    <w:rPr>
      <w:rFonts w:ascii="Times New Roman" w:hAnsi="Times New Roman" w:eastAsia="宋体" w:cs="Times New Roman"/>
      <w:sz w:val="18"/>
      <w:szCs w:val="18"/>
    </w:rPr>
  </w:style>
  <w:style w:type="character" w:customStyle="1" w:styleId="14">
    <w:name w:val="页脚 Char"/>
    <w:basedOn w:val="8"/>
    <w:link w:val="3"/>
    <w:qFormat/>
    <w:uiPriority w:val="99"/>
    <w:rPr>
      <w:rFonts w:ascii="Times New Roman" w:hAnsi="Times New Roman" w:eastAsia="宋体" w:cs="Times New Roman"/>
      <w:sz w:val="18"/>
      <w:szCs w:val="18"/>
    </w:rPr>
  </w:style>
  <w:style w:type="paragraph" w:styleId="15">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 w:type="character" w:customStyle="1" w:styleId="16">
    <w:name w:val="批注框文本 Char"/>
    <w:basedOn w:val="8"/>
    <w:link w:val="2"/>
    <w:semiHidden/>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chart" Target="charts/chart5.xml"/><Relationship Id="rId8" Type="http://schemas.openxmlformats.org/officeDocument/2006/relationships/chart" Target="charts/chart4.xml"/><Relationship Id="rId7" Type="http://schemas.openxmlformats.org/officeDocument/2006/relationships/chart" Target="charts/chart3.xml"/><Relationship Id="rId6" Type="http://schemas.openxmlformats.org/officeDocument/2006/relationships/chart" Target="charts/chart2.xml"/><Relationship Id="rId5" Type="http://schemas.openxmlformats.org/officeDocument/2006/relationships/chart" Target="charts/chart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customXml" Target="../customXml/item1.xml"/><Relationship Id="rId10" Type="http://schemas.openxmlformats.org/officeDocument/2006/relationships/chart" Target="charts/chart6.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Workbook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Workbook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Workbook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Workbook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Workbook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Workbook6.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5045949138371"/>
          <c:y val="0.0664706694944866"/>
          <c:w val="0.75981142557036"/>
          <c:h val="0.816807651365569"/>
        </c:manualLayout>
      </c:layout>
      <c:barChart>
        <c:barDir val="col"/>
        <c:grouping val="clustered"/>
        <c:varyColors val="0"/>
        <c:ser>
          <c:idx val="0"/>
          <c:order val="0"/>
          <c:tx>
            <c:strRef>
              <c:f>Sheet1!$B$1</c:f>
              <c:strCache>
                <c:ptCount val="1"/>
                <c:pt idx="0">
                  <c:v>2020年</c:v>
                </c:pt>
              </c:strCache>
            </c:strRef>
          </c:tx>
          <c:invertIfNegative val="0"/>
          <c:dLbls>
            <c:dLbl>
              <c:idx val="0"/>
              <c:layout/>
              <c:tx>
                <c:rich>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r>
                      <a:rPr lang="en-US" altLang="en-US"/>
                      <a:t>53</a:t>
                    </a:r>
                    <a:endParaRPr lang="en-US" altLang="en-US"/>
                  </a:p>
                </c:rich>
              </c:tx>
              <c:dLblPos val="outEnd"/>
              <c:showLegendKey val="0"/>
              <c:showVal val="1"/>
              <c:showCatName val="0"/>
              <c:showSerName val="0"/>
              <c:showPercent val="0"/>
              <c:showBubbleSize val="0"/>
              <c:extLst>
                <c:ext xmlns:c15="http://schemas.microsoft.com/office/drawing/2012/chart" uri="{CE6537A1-D6FC-4f65-9D91-7224C49458BB}"/>
              </c:extLst>
            </c:dLbl>
            <c:dLbl>
              <c:idx val="1"/>
              <c:layout/>
              <c:tx>
                <c:rich>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r>
                      <a:rPr lang="en-US" altLang="zh-CN"/>
                      <a:t>766</a:t>
                    </a:r>
                    <a:endParaRPr lang="en-US" altLang="en-US"/>
                  </a:p>
                </c:rich>
              </c:tx>
              <c:dLblPos val="outEnd"/>
              <c:showLegendKey val="0"/>
              <c:showVal val="1"/>
              <c:showCatName val="0"/>
              <c:showSerName val="0"/>
              <c:showPercent val="0"/>
              <c:showBubbleSize val="0"/>
              <c:extLst>
                <c:ext xmlns:c15="http://schemas.microsoft.com/office/drawing/2012/chart" uri="{CE6537A1-D6FC-4f65-9D91-7224C49458BB}"/>
              </c:extLst>
            </c:dLbl>
            <c:dLbl>
              <c:idx val="2"/>
              <c:layout/>
              <c:tx>
                <c:rich>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r>
                      <a:rPr lang="en-US" altLang="zh-CN"/>
                      <a:t>783</a:t>
                    </a:r>
                    <a:endParaRPr lang="en-US" altLang="en-US"/>
                  </a:p>
                </c:rich>
              </c:tx>
              <c:dLblPos val="outEnd"/>
              <c:showLegendKey val="0"/>
              <c:showVal val="1"/>
              <c:showCatName val="0"/>
              <c:showSerName val="0"/>
              <c:showPercent val="0"/>
              <c:showBubbleSize val="0"/>
              <c:extLst>
                <c:ext xmlns:c15="http://schemas.microsoft.com/office/drawing/2012/chart" uri="{CE6537A1-D6FC-4f65-9D91-7224C49458BB}"/>
              </c:extLst>
            </c:dLbl>
            <c:dLbl>
              <c:idx val="3"/>
              <c:layout/>
              <c:numFmt formatCode="General" sourceLinked="1"/>
              <c:spPr>
                <a:noFill/>
                <a:ln>
                  <a:noFill/>
                </a:ln>
                <a:effectLst/>
              </c:spPr>
              <c:txPr>
                <a:bodyPr rot="0" spcFirstLastPara="0" vertOverflow="ellipsis" vert="horz" wrap="square" lIns="38100" tIns="19050" rIns="38100" bIns="19050" anchor="ctr" anchorCtr="1"/>
                <a:lstStyle/>
                <a:p>
                  <a:pPr>
                    <a:defRPr lang="en-US"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Sheet1!$A$2:$A$5</c:f>
              <c:strCache>
                <c:ptCount val="4"/>
                <c:pt idx="0">
                  <c:v>旧存</c:v>
                </c:pt>
                <c:pt idx="1">
                  <c:v>新收</c:v>
                </c:pt>
                <c:pt idx="2">
                  <c:v>已结</c:v>
                </c:pt>
                <c:pt idx="3">
                  <c:v>未结</c:v>
                </c:pt>
              </c:strCache>
            </c:strRef>
          </c:cat>
          <c:val>
            <c:numRef>
              <c:f>Sheet1!$B$2:$B$5</c:f>
              <c:numCache>
                <c:formatCode>General</c:formatCode>
                <c:ptCount val="4"/>
                <c:pt idx="0">
                  <c:v>53</c:v>
                </c:pt>
                <c:pt idx="1">
                  <c:v>766</c:v>
                </c:pt>
                <c:pt idx="2">
                  <c:v>783</c:v>
                </c:pt>
                <c:pt idx="3">
                  <c:v>36</c:v>
                </c:pt>
              </c:numCache>
            </c:numRef>
          </c:val>
        </c:ser>
        <c:ser>
          <c:idx val="1"/>
          <c:order val="1"/>
          <c:tx>
            <c:strRef>
              <c:f>Sheet1!$C$1</c:f>
              <c:strCache>
                <c:ptCount val="1"/>
                <c:pt idx="0">
                  <c:v>2021年</c:v>
                </c:pt>
              </c:strCache>
            </c:strRef>
          </c:tx>
          <c:invertIfNegative val="0"/>
          <c:dLbls>
            <c:dLbl>
              <c:idx val="0"/>
              <c:layout/>
              <c:tx>
                <c:rich>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r>
                      <a:rPr lang="en-US" altLang="en-US"/>
                      <a:t>6</a:t>
                    </a:r>
                    <a:endParaRPr lang="en-US" altLang="en-US"/>
                  </a:p>
                </c:rich>
              </c:tx>
              <c:dLblPos val="outEnd"/>
              <c:showLegendKey val="0"/>
              <c:showVal val="1"/>
              <c:showCatName val="0"/>
              <c:showSerName val="0"/>
              <c:showPercent val="0"/>
              <c:showBubbleSize val="0"/>
              <c:extLst>
                <c:ext xmlns:c15="http://schemas.microsoft.com/office/drawing/2012/chart" uri="{CE6537A1-D6FC-4f65-9D91-7224C49458BB}"/>
              </c:extLst>
            </c:dLbl>
            <c:dLbl>
              <c:idx val="1"/>
              <c:layout>
                <c:manualLayout>
                  <c:x val="-2.04652780975478e-7"/>
                  <c:y val="0.0102960102960103"/>
                </c:manualLayout>
              </c:layout>
              <c:tx>
                <c:rich>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r>
                      <a:rPr lang="en-US" altLang="en-US"/>
                      <a:t>799</a:t>
                    </a:r>
                    <a:endParaRPr lang="en-US" altLang="en-US"/>
                  </a:p>
                </c:rich>
              </c:tx>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tx>
                <c:rich>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r>
                      <a:rPr lang="en-US" altLang="zh-CN"/>
                      <a:t>793</a:t>
                    </a:r>
                    <a:endParaRPr lang="en-US" altLang="en-US"/>
                  </a:p>
                </c:rich>
              </c:tx>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Sheet1!$A$2:$A$5</c:f>
              <c:strCache>
                <c:ptCount val="4"/>
                <c:pt idx="0">
                  <c:v>旧存</c:v>
                </c:pt>
                <c:pt idx="1">
                  <c:v>新收</c:v>
                </c:pt>
                <c:pt idx="2">
                  <c:v>已结</c:v>
                </c:pt>
                <c:pt idx="3">
                  <c:v>未结</c:v>
                </c:pt>
              </c:strCache>
            </c:strRef>
          </c:cat>
          <c:val>
            <c:numRef>
              <c:f>Sheet1!$C$2:$C$5</c:f>
              <c:numCache>
                <c:formatCode>General</c:formatCode>
                <c:ptCount val="4"/>
                <c:pt idx="0">
                  <c:v>6</c:v>
                </c:pt>
                <c:pt idx="1">
                  <c:v>799</c:v>
                </c:pt>
                <c:pt idx="2">
                  <c:v>793</c:v>
                </c:pt>
                <c:pt idx="3">
                  <c:v>12</c:v>
                </c:pt>
              </c:numCache>
            </c:numRef>
          </c:val>
        </c:ser>
        <c:dLbls>
          <c:showLegendKey val="0"/>
          <c:showVal val="0"/>
          <c:showCatName val="0"/>
          <c:showSerName val="0"/>
          <c:showPercent val="0"/>
          <c:showBubbleSize val="0"/>
        </c:dLbls>
        <c:gapWidth val="150"/>
        <c:axId val="150412288"/>
        <c:axId val="151985536"/>
      </c:barChart>
      <c:catAx>
        <c:axId val="150412288"/>
        <c:scaling>
          <c:orientation val="minMax"/>
        </c:scaling>
        <c:delete val="0"/>
        <c:axPos val="b"/>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51985536"/>
        <c:crosses val="autoZero"/>
        <c:auto val="1"/>
        <c:lblAlgn val="ctr"/>
        <c:lblOffset val="100"/>
        <c:noMultiLvlLbl val="0"/>
      </c:catAx>
      <c:valAx>
        <c:axId val="151985536"/>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50412288"/>
        <c:crosses val="autoZero"/>
        <c:crossBetween val="between"/>
      </c:valAx>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spPr>
    <a:ln w="9525" cap="flat" cmpd="sng" algn="ctr">
      <a:noFill/>
      <a:prstDash val="solid"/>
      <a:round/>
    </a:ln>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manualLayout>
          <c:layoutTarget val="inner"/>
          <c:xMode val="edge"/>
          <c:yMode val="edge"/>
          <c:x val="0.0778396078609188"/>
          <c:y val="0.0810189669687515"/>
          <c:w val="0.894009400456422"/>
          <c:h val="0.776712722230486"/>
        </c:manualLayout>
      </c:layout>
      <c:barChart>
        <c:barDir val="col"/>
        <c:grouping val="clustered"/>
        <c:varyColors val="0"/>
        <c:ser>
          <c:idx val="0"/>
          <c:order val="0"/>
          <c:tx>
            <c:strRef>
              <c:f>Sheet1!$B$1</c:f>
              <c:strCache>
                <c:ptCount val="1"/>
                <c:pt idx="0">
                  <c:v>列3</c:v>
                </c:pt>
              </c:strCache>
            </c:strRef>
          </c:tx>
          <c:invertIfNegative val="0"/>
          <c:dLbls>
            <c:dLbl>
              <c:idx val="0"/>
              <c:layout/>
              <c:tx>
                <c:rich>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r>
                      <a:rPr lang="en-US" altLang="en-US"/>
                      <a:t>25</a:t>
                    </a:r>
                    <a:endParaRPr lang="en-US" altLang="en-US"/>
                  </a:p>
                </c:rich>
              </c:tx>
              <c:dLblPos val="outEnd"/>
              <c:showLegendKey val="0"/>
              <c:showVal val="1"/>
              <c:showCatName val="0"/>
              <c:showSerName val="0"/>
              <c:showPercent val="0"/>
              <c:showBubbleSize val="0"/>
              <c:extLst>
                <c:ext xmlns:c15="http://schemas.microsoft.com/office/drawing/2012/chart" uri="{CE6537A1-D6FC-4f65-9D91-7224C49458BB}"/>
              </c:extLst>
            </c:dLbl>
            <c:dLbl>
              <c:idx val="1"/>
              <c:layout/>
              <c:tx>
                <c:rich>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r>
                      <a:rPr lang="en-US" altLang="en-US"/>
                      <a:t>18</a:t>
                    </a:r>
                    <a:endParaRPr lang="en-US" altLang="en-US"/>
                  </a:p>
                </c:rich>
              </c:tx>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Sheet1!$A$2:$A$5</c:f>
              <c:strCache>
                <c:ptCount val="2"/>
                <c:pt idx="0">
                  <c:v>民事</c:v>
                </c:pt>
                <c:pt idx="1">
                  <c:v>刑事</c:v>
                </c:pt>
              </c:strCache>
            </c:strRef>
          </c:cat>
          <c:val>
            <c:numRef>
              <c:f>Sheet1!$B$2:$B$5</c:f>
              <c:numCache>
                <c:formatCode>General</c:formatCode>
                <c:ptCount val="4"/>
                <c:pt idx="0">
                  <c:v>25</c:v>
                </c:pt>
                <c:pt idx="1">
                  <c:v>18</c:v>
                </c:pt>
              </c:numCache>
            </c:numRef>
          </c:val>
        </c:ser>
        <c:ser>
          <c:idx val="1"/>
          <c:order val="1"/>
          <c:tx>
            <c:strRef>
              <c:f>Sheet1!$C$1</c:f>
              <c:strCache>
                <c:ptCount val="1"/>
                <c:pt idx="0">
                  <c:v>列4</c:v>
                </c:pt>
              </c:strCache>
            </c:strRef>
          </c:tx>
          <c:invertIfNegative val="0"/>
          <c:dLbls>
            <c:delete val="1"/>
          </c:dLbls>
          <c:cat>
            <c:strRef>
              <c:f>Sheet1!$A$2:$A$5</c:f>
              <c:strCache>
                <c:ptCount val="2"/>
                <c:pt idx="0">
                  <c:v>民事</c:v>
                </c:pt>
                <c:pt idx="1">
                  <c:v>刑事</c:v>
                </c:pt>
              </c:strCache>
            </c:strRef>
          </c:cat>
          <c:val>
            <c:numRef>
              <c:f>Sheet1!$C$2:$C$5</c:f>
              <c:numCache>
                <c:formatCode>General</c:formatCode>
                <c:ptCount val="4"/>
              </c:numCache>
            </c:numRef>
          </c:val>
        </c:ser>
        <c:dLbls>
          <c:showLegendKey val="0"/>
          <c:showVal val="0"/>
          <c:showCatName val="0"/>
          <c:showSerName val="0"/>
          <c:showPercent val="0"/>
          <c:showBubbleSize val="0"/>
        </c:dLbls>
        <c:gapWidth val="150"/>
        <c:axId val="176607616"/>
        <c:axId val="176609920"/>
      </c:barChart>
      <c:catAx>
        <c:axId val="176607616"/>
        <c:scaling>
          <c:orientation val="minMax"/>
        </c:scaling>
        <c:delete val="0"/>
        <c:axPos val="b"/>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76609920"/>
        <c:crosses val="autoZero"/>
        <c:auto val="1"/>
        <c:lblAlgn val="ctr"/>
        <c:lblOffset val="100"/>
        <c:noMultiLvlLbl val="0"/>
      </c:catAx>
      <c:valAx>
        <c:axId val="176609920"/>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76607616"/>
        <c:crosses val="autoZero"/>
        <c:crossBetween val="between"/>
      </c:valAx>
      <c:spPr>
        <a:ln>
          <a:noFill/>
        </a:ln>
      </c:spPr>
    </c:plotArea>
    <c:plotVisOnly val="1"/>
    <c:dispBlanksAs val="gap"/>
    <c:showDLblsOverMax val="0"/>
  </c:chart>
  <c:spPr>
    <a:ln w="9525" cap="flat" cmpd="sng" algn="ctr">
      <a:noFill/>
      <a:prstDash val="solid"/>
      <a:round/>
    </a:ln>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zh-CN" altLang="en-US"/>
              <a:t> 民事案由</a:t>
            </a:r>
            <a:endParaRPr lang="zh-CN" altLang="en-US"/>
          </a:p>
        </c:rich>
      </c:tx>
      <c:layout/>
      <c:overlay val="0"/>
    </c:title>
    <c:autoTitleDeleted val="0"/>
    <c:view3D>
      <c:rotX val="30"/>
      <c:rotY val="0"/>
      <c:depthPercent val="100"/>
      <c:rAngAx val="0"/>
      <c:perspective val="30"/>
    </c:view3D>
    <c:floor>
      <c:thickness val="0"/>
    </c:floor>
    <c:sideWall>
      <c:thickness val="0"/>
    </c:sideWall>
    <c:backWall>
      <c:thickness val="0"/>
    </c:backWall>
    <c:plotArea>
      <c:layout/>
      <c:pie3DChart>
        <c:varyColors val="1"/>
        <c:ser>
          <c:idx val="0"/>
          <c:order val="0"/>
          <c:tx>
            <c:strRef>
              <c:f>Sheet1!$B$1</c:f>
              <c:strCache>
                <c:ptCount val="1"/>
                <c:pt idx="0">
                  <c:v>民案由</c:v>
                </c:pt>
              </c:strCache>
            </c:strRef>
          </c:tx>
          <c:explosion val="0"/>
          <c:dPt>
            <c:idx val="0"/>
            <c:bubble3D val="0"/>
          </c:dPt>
          <c:dPt>
            <c:idx val="1"/>
            <c:bubble3D val="0"/>
          </c:dPt>
          <c:dPt>
            <c:idx val="2"/>
            <c:bubble3D val="0"/>
          </c:dPt>
          <c:dPt>
            <c:idx val="3"/>
            <c:bubble3D val="0"/>
          </c:dPt>
          <c:dLbls>
            <c:delete val="1"/>
          </c:dLbls>
          <c:cat>
            <c:strRef>
              <c:f>Sheet1!$A$2:$A$4</c:f>
              <c:strCache>
                <c:ptCount val="3"/>
                <c:pt idx="0">
                  <c:v>合同类</c:v>
                </c:pt>
                <c:pt idx="1">
                  <c:v>婚姻家庭</c:v>
                </c:pt>
                <c:pt idx="2">
                  <c:v>物权纠纷</c:v>
                </c:pt>
              </c:strCache>
            </c:strRef>
          </c:cat>
          <c:val>
            <c:numRef>
              <c:f>Sheet1!$B$2:$B$5</c:f>
              <c:numCache>
                <c:formatCode>General</c:formatCode>
                <c:ptCount val="4"/>
                <c:pt idx="0">
                  <c:v>160</c:v>
                </c:pt>
                <c:pt idx="1">
                  <c:v>30</c:v>
                </c:pt>
                <c:pt idx="2">
                  <c:v>16</c:v>
                </c:pt>
              </c:numCache>
            </c:numRef>
          </c:val>
        </c:ser>
        <c:dLbls>
          <c:showLegendKey val="0"/>
          <c:showVal val="0"/>
          <c:showCatName val="0"/>
          <c:showSerName val="0"/>
          <c:showPercent val="0"/>
          <c:showBubbleSize val="0"/>
        </c:dLbls>
      </c:pie3DChart>
    </c:plotArea>
    <c:legend>
      <c:legendPos val="r"/>
      <c:legendEntry>
        <c:idx val="3"/>
        <c:delete val="1"/>
      </c:legendEntry>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spPr>
    <a:ln w="9525" cap="flat" cmpd="sng" algn="ctr">
      <a:noFill/>
      <a:prstDash val="solid"/>
      <a:round/>
    </a:ln>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317114427860699"/>
          <c:y val="0.0264550264550266"/>
        </c:manualLayout>
      </c:layout>
      <c:overlay val="0"/>
      <c:txPr>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p>
      </c:txPr>
    </c:title>
    <c:autoTitleDeleted val="0"/>
    <c:view3D>
      <c:rotX val="30"/>
      <c:rotY val="0"/>
      <c:depthPercent val="100"/>
      <c:rAngAx val="0"/>
      <c:perspective val="30"/>
    </c:view3D>
    <c:floor>
      <c:thickness val="0"/>
    </c:floor>
    <c:sideWall>
      <c:thickness val="0"/>
    </c:sideWall>
    <c:backWall>
      <c:thickness val="0"/>
    </c:backWall>
    <c:plotArea>
      <c:layout>
        <c:manualLayout>
          <c:layoutTarget val="inner"/>
          <c:xMode val="edge"/>
          <c:yMode val="edge"/>
          <c:x val="0.087764850289237"/>
          <c:y val="0.22002541348998"/>
          <c:w val="0.512596074744388"/>
          <c:h val="0.671297754447361"/>
        </c:manualLayout>
      </c:layout>
      <c:pie3DChart>
        <c:varyColors val="1"/>
        <c:ser>
          <c:idx val="0"/>
          <c:order val="0"/>
          <c:tx>
            <c:strRef>
              <c:f>Sheet1!$B$1</c:f>
              <c:strCache>
                <c:ptCount val="1"/>
                <c:pt idx="0">
                  <c:v>刑事案由</c:v>
                </c:pt>
              </c:strCache>
            </c:strRef>
          </c:tx>
          <c:explosion val="0"/>
          <c:dPt>
            <c:idx val="0"/>
            <c:bubble3D val="0"/>
          </c:dPt>
          <c:dPt>
            <c:idx val="1"/>
            <c:bubble3D val="0"/>
          </c:dPt>
          <c:dPt>
            <c:idx val="2"/>
            <c:bubble3D val="0"/>
          </c:dPt>
          <c:dPt>
            <c:idx val="3"/>
            <c:bubble3D val="0"/>
          </c:dPt>
          <c:dPt>
            <c:idx val="4"/>
            <c:bubble3D val="0"/>
          </c:dPt>
          <c:dLbls>
            <c:delete val="1"/>
          </c:dLbls>
          <c:cat>
            <c:strRef>
              <c:f>Sheet1!$A$2:$A$6</c:f>
              <c:strCache>
                <c:ptCount val="4"/>
                <c:pt idx="0">
                  <c:v>妨害社会管理秩序</c:v>
                </c:pt>
                <c:pt idx="1">
                  <c:v>侵犯财产</c:v>
                </c:pt>
                <c:pt idx="3">
                  <c:v>危害公共安全罪</c:v>
                </c:pt>
              </c:strCache>
            </c:strRef>
          </c:cat>
          <c:val>
            <c:numRef>
              <c:f>Sheet1!$B$2:$B$6</c:f>
              <c:numCache>
                <c:formatCode>General</c:formatCode>
                <c:ptCount val="5"/>
                <c:pt idx="0">
                  <c:v>11</c:v>
                </c:pt>
                <c:pt idx="1">
                  <c:v>8</c:v>
                </c:pt>
                <c:pt idx="3">
                  <c:v>5</c:v>
                </c:pt>
              </c:numCache>
            </c:numRef>
          </c:val>
        </c:ser>
        <c:dLbls>
          <c:showLegendKey val="0"/>
          <c:showVal val="0"/>
          <c:showCatName val="0"/>
          <c:showSerName val="0"/>
          <c:showPercent val="0"/>
          <c:showBubbleSize val="0"/>
        </c:dLbls>
      </c:pie3DChart>
    </c:plotArea>
    <c:legend>
      <c:legendPos val="r"/>
      <c:legendEntry>
        <c:idx val="2"/>
        <c:delete val="1"/>
      </c:legendEntry>
      <c:legendEntry>
        <c:idx val="4"/>
        <c:delete val="1"/>
      </c:legendEntry>
      <c:layout>
        <c:manualLayout>
          <c:xMode val="edge"/>
          <c:yMode val="edge"/>
          <c:x val="0.658884280686291"/>
          <c:y val="0.342591738770296"/>
          <c:w val="0.34111563995677"/>
          <c:h val="0.458795844435793"/>
        </c:manualLayout>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spPr>
    <a:noFill/>
    <a:ln w="9525" cap="flat" cmpd="sng" algn="ctr">
      <a:noFill/>
      <a:prstDash val="solid"/>
      <a:round/>
    </a:ln>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1"/>
          <c:order val="0"/>
          <c:tx>
            <c:strRef>
              <c:f>Sheet1!$C$1</c:f>
              <c:strCache>
                <c:ptCount val="1"/>
                <c:pt idx="0">
                  <c:v>结案</c:v>
                </c:pt>
              </c:strCache>
            </c:strRef>
          </c:tx>
          <c:invertIfNegative val="0"/>
          <c:dLbls>
            <c:delete val="1"/>
          </c:dLbls>
          <c:cat>
            <c:strRef>
              <c:f>Sheet1!$A$2:$A$5</c:f>
              <c:strCache>
                <c:ptCount val="3"/>
                <c:pt idx="0">
                  <c:v>刑事</c:v>
                </c:pt>
                <c:pt idx="1">
                  <c:v>民事</c:v>
                </c:pt>
                <c:pt idx="2">
                  <c:v>执行</c:v>
                </c:pt>
              </c:strCache>
            </c:strRef>
          </c:cat>
          <c:val>
            <c:numRef>
              <c:f>Sheet1!$C$2:$C$5</c:f>
              <c:numCache>
                <c:formatCode>General</c:formatCode>
                <c:ptCount val="4"/>
                <c:pt idx="0">
                  <c:v>41</c:v>
                </c:pt>
                <c:pt idx="1">
                  <c:v>436</c:v>
                </c:pt>
                <c:pt idx="2">
                  <c:v>282</c:v>
                </c:pt>
              </c:numCache>
            </c:numRef>
          </c:val>
        </c:ser>
        <c:ser>
          <c:idx val="2"/>
          <c:order val="1"/>
          <c:tx>
            <c:strRef>
              <c:f>Sheet1!$D$1</c:f>
              <c:strCache>
                <c:ptCount val="1"/>
                <c:pt idx="0">
                  <c:v>收案</c:v>
                </c:pt>
              </c:strCache>
            </c:strRef>
          </c:tx>
          <c:invertIfNegative val="0"/>
          <c:dLbls>
            <c:delete val="1"/>
          </c:dLbls>
          <c:cat>
            <c:strRef>
              <c:f>Sheet1!$A$2:$A$5</c:f>
              <c:strCache>
                <c:ptCount val="3"/>
                <c:pt idx="0">
                  <c:v>刑事</c:v>
                </c:pt>
                <c:pt idx="1">
                  <c:v>民事</c:v>
                </c:pt>
                <c:pt idx="2">
                  <c:v>执行</c:v>
                </c:pt>
              </c:strCache>
            </c:strRef>
          </c:cat>
          <c:val>
            <c:numRef>
              <c:f>Sheet1!$D$2:$D$5</c:f>
              <c:numCache>
                <c:formatCode>General</c:formatCode>
                <c:ptCount val="4"/>
                <c:pt idx="0">
                  <c:v>43</c:v>
                </c:pt>
                <c:pt idx="1">
                  <c:v>438</c:v>
                </c:pt>
                <c:pt idx="2">
                  <c:v>284</c:v>
                </c:pt>
              </c:numCache>
            </c:numRef>
          </c:val>
        </c:ser>
        <c:dLbls>
          <c:showLegendKey val="0"/>
          <c:showVal val="0"/>
          <c:showCatName val="0"/>
          <c:showSerName val="0"/>
          <c:showPercent val="0"/>
          <c:showBubbleSize val="0"/>
        </c:dLbls>
        <c:gapWidth val="150"/>
        <c:axId val="75859072"/>
        <c:axId val="75860608"/>
      </c:barChart>
      <c:catAx>
        <c:axId val="75859072"/>
        <c:scaling>
          <c:orientation val="minMax"/>
        </c:scaling>
        <c:delete val="0"/>
        <c:axPos val="l"/>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75860608"/>
        <c:crosses val="autoZero"/>
        <c:auto val="1"/>
        <c:lblAlgn val="ctr"/>
        <c:lblOffset val="100"/>
        <c:noMultiLvlLbl val="0"/>
      </c:catAx>
      <c:valAx>
        <c:axId val="75860608"/>
        <c:scaling>
          <c:orientation val="minMax"/>
        </c:scaling>
        <c:delete val="0"/>
        <c:axPos val="b"/>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75859072"/>
        <c:crosses val="autoZero"/>
        <c:crossBetween val="between"/>
      </c:valAx>
    </c:plotArea>
    <c:legend>
      <c:legendPos val="r"/>
      <c:layout>
        <c:manualLayout>
          <c:xMode val="edge"/>
          <c:yMode val="edge"/>
          <c:x val="0.878847849292143"/>
          <c:y val="0.425354168190284"/>
          <c:w val="0.106704763277094"/>
          <c:h val="0.26487441391808"/>
        </c:manualLayout>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spPr>
    <a:noFill/>
    <a:ln w="9525" cap="flat" cmpd="sng" algn="ctr">
      <a:noFill/>
      <a:prstDash val="solid"/>
      <a:round/>
    </a:ln>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2019年</c:v>
                </c:pt>
              </c:strCache>
            </c:strRef>
          </c:tx>
          <c:invertIfNegative val="0"/>
          <c:dLbls>
            <c:delete val="1"/>
          </c:dLbls>
          <c:cat>
            <c:strRef>
              <c:f>Sheet1!$A$2:$A$5</c:f>
              <c:strCache>
                <c:ptCount val="4"/>
                <c:pt idx="0">
                  <c:v>旧存</c:v>
                </c:pt>
                <c:pt idx="1">
                  <c:v>新收</c:v>
                </c:pt>
                <c:pt idx="2">
                  <c:v>已结</c:v>
                </c:pt>
                <c:pt idx="3">
                  <c:v>未结</c:v>
                </c:pt>
              </c:strCache>
            </c:strRef>
          </c:cat>
          <c:val>
            <c:numRef>
              <c:f>Sheet1!$B$2:$B$5</c:f>
              <c:numCache>
                <c:formatCode>General</c:formatCode>
                <c:ptCount val="4"/>
                <c:pt idx="0">
                  <c:v>22</c:v>
                </c:pt>
                <c:pt idx="1">
                  <c:v>205</c:v>
                </c:pt>
                <c:pt idx="2">
                  <c:v>180</c:v>
                </c:pt>
                <c:pt idx="3">
                  <c:v>45</c:v>
                </c:pt>
              </c:numCache>
            </c:numRef>
          </c:val>
        </c:ser>
        <c:ser>
          <c:idx val="2"/>
          <c:order val="1"/>
          <c:tx>
            <c:strRef>
              <c:f>Sheet1!$D$1</c:f>
              <c:strCache>
                <c:ptCount val="1"/>
                <c:pt idx="0">
                  <c:v>2020年</c:v>
                </c:pt>
              </c:strCache>
            </c:strRef>
          </c:tx>
          <c:invertIfNegative val="0"/>
          <c:dLbls>
            <c:delete val="1"/>
          </c:dLbls>
          <c:cat>
            <c:strRef>
              <c:f>Sheet1!$A$2:$A$5</c:f>
              <c:strCache>
                <c:ptCount val="4"/>
                <c:pt idx="0">
                  <c:v>旧存</c:v>
                </c:pt>
                <c:pt idx="1">
                  <c:v>新收</c:v>
                </c:pt>
                <c:pt idx="2">
                  <c:v>已结</c:v>
                </c:pt>
                <c:pt idx="3">
                  <c:v>未结</c:v>
                </c:pt>
              </c:strCache>
            </c:strRef>
          </c:cat>
          <c:val>
            <c:numRef>
              <c:f>Sheet1!$D$2:$D$5</c:f>
              <c:numCache>
                <c:formatCode>General</c:formatCode>
                <c:ptCount val="4"/>
                <c:pt idx="0">
                  <c:v>11</c:v>
                </c:pt>
                <c:pt idx="1">
                  <c:v>242</c:v>
                </c:pt>
                <c:pt idx="2">
                  <c:v>250</c:v>
                </c:pt>
                <c:pt idx="3">
                  <c:v>3</c:v>
                </c:pt>
              </c:numCache>
            </c:numRef>
          </c:val>
        </c:ser>
        <c:dLbls>
          <c:showLegendKey val="0"/>
          <c:showVal val="0"/>
          <c:showCatName val="0"/>
          <c:showSerName val="0"/>
          <c:showPercent val="0"/>
          <c:showBubbleSize val="0"/>
        </c:dLbls>
        <c:gapWidth val="150"/>
        <c:axId val="213761024"/>
        <c:axId val="246518528"/>
      </c:barChart>
      <c:catAx>
        <c:axId val="213761024"/>
        <c:scaling>
          <c:orientation val="minMax"/>
        </c:scaling>
        <c:delete val="0"/>
        <c:axPos val="b"/>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246518528"/>
        <c:crosses val="autoZero"/>
        <c:auto val="1"/>
        <c:lblAlgn val="ctr"/>
        <c:lblOffset val="100"/>
        <c:noMultiLvlLbl val="0"/>
      </c:catAx>
      <c:valAx>
        <c:axId val="246518528"/>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213761024"/>
        <c:crosses val="autoZero"/>
        <c:crossBetween val="between"/>
      </c:valAx>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spPr>
    <a:noFill/>
    <a:ln w="9525" cap="flat" cmpd="sng" algn="ctr">
      <a:noFill/>
      <a:prstDash val="solid"/>
      <a:round/>
    </a:ln>
  </c:spPr>
  <c:txPr>
    <a:bodyPr/>
    <a:lstStyle/>
    <a:p>
      <a:pPr>
        <a:defRPr lang="zh-CN"/>
      </a:pPr>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E5A8E02-116B-4D42-9D7D-3A5900247A54}">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11</Pages>
  <Words>609</Words>
  <Characters>3476</Characters>
  <Lines>28</Lines>
  <Paragraphs>8</Paragraphs>
  <TotalTime>729</TotalTime>
  <ScaleCrop>false</ScaleCrop>
  <LinksUpToDate>false</LinksUpToDate>
  <CharactersWithSpaces>4077</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2019-04-01T02:59:00Z</dcterms:created>
  <dc:creator>微软用户</dc:creator>
  <cp:lastModifiedBy>WPS_1562897948</cp:lastModifiedBy>
  <dcterms:modified xsi:type="dcterms:W3CDTF">2021-10-13T05:53:13Z</dcterms:modified>
  <cp:revision>163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A219360278284EF1AD9D93AB4D75A69F</vt:lpwstr>
  </property>
</Properties>
</file>